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95C2" w14:textId="57435B78" w:rsidR="00B53F6B" w:rsidRDefault="00B53F6B" w:rsidP="00B53F6B">
      <w:pPr>
        <w:spacing w:after="156" w:line="259" w:lineRule="auto"/>
        <w:ind w:left="720" w:firstLine="0"/>
      </w:pPr>
      <w:bookmarkStart w:id="0" w:name="_GoBack"/>
      <w:bookmarkEnd w:id="0"/>
      <w:r>
        <w:rPr>
          <w:b/>
          <w:sz w:val="44"/>
          <w:lang w:val="sl"/>
        </w:rPr>
        <w:t>Poklicno ravnanje v zvezi z obdavčitvijo</w:t>
      </w:r>
    </w:p>
    <w:p w14:paraId="013C0BBF" w14:textId="77777777" w:rsidR="00B53F6B" w:rsidRDefault="00B53F6B" w:rsidP="00B53F6B">
      <w:pPr>
        <w:spacing w:after="0" w:line="259" w:lineRule="auto"/>
        <w:ind w:left="10" w:right="-15" w:hanging="10"/>
        <w:jc w:val="right"/>
      </w:pPr>
      <w:r>
        <w:rPr>
          <w:lang w:val="sl"/>
        </w:rPr>
        <w:t>Učinkovito: 1. marec 2017</w:t>
      </w:r>
    </w:p>
    <w:p w14:paraId="779B50CF" w14:textId="77777777" w:rsidR="00B53F6B" w:rsidRDefault="00B53F6B" w:rsidP="00B53F6B">
      <w:pPr>
        <w:spacing w:after="0" w:line="259" w:lineRule="auto"/>
        <w:ind w:left="10" w:right="-15" w:hanging="10"/>
        <w:jc w:val="right"/>
      </w:pPr>
      <w:proofErr w:type="spellStart"/>
      <w:r>
        <w:rPr>
          <w:lang w:val="sl"/>
        </w:rPr>
        <w:t>Republished</w:t>
      </w:r>
      <w:proofErr w:type="spellEnd"/>
      <w:r>
        <w:rPr>
          <w:lang w:val="sl"/>
        </w:rPr>
        <w:t>: 1 marec 2019</w:t>
      </w:r>
    </w:p>
    <w:p w14:paraId="1C781EC5" w14:textId="77777777" w:rsidR="00B53F6B" w:rsidRDefault="00B53F6B" w:rsidP="00B53F6B">
      <w:pPr>
        <w:spacing w:after="0" w:line="259" w:lineRule="auto"/>
        <w:ind w:left="720" w:firstLine="0"/>
      </w:pPr>
      <w:r>
        <w:t xml:space="preserve"> </w:t>
      </w:r>
    </w:p>
    <w:p w14:paraId="47413D77" w14:textId="77777777" w:rsidR="00B53F6B" w:rsidRDefault="00B53F6B" w:rsidP="00B53F6B">
      <w:pPr>
        <w:spacing w:after="0" w:line="259" w:lineRule="auto"/>
        <w:ind w:left="720" w:firstLine="0"/>
      </w:pPr>
      <w:r>
        <w:t xml:space="preserve"> </w:t>
      </w:r>
    </w:p>
    <w:p w14:paraId="2CDFC62A" w14:textId="77777777" w:rsidR="00B53F6B" w:rsidRDefault="00B53F6B" w:rsidP="00B53F6B">
      <w:pPr>
        <w:spacing w:after="310" w:line="275" w:lineRule="auto"/>
        <w:ind w:left="730" w:hanging="10"/>
      </w:pPr>
      <w:r>
        <w:rPr>
          <w:b/>
          <w:lang w:val="sl"/>
        </w:rPr>
        <w:t>Poklicno ravnanje v zvezi z obdavčitvijo (PCRT) določa temeljna načela in standarde vedenja, ki jih morajo upoštevati vsi člani, podružnice in študenti.</w:t>
      </w:r>
    </w:p>
    <w:p w14:paraId="1FC1FB1F" w14:textId="77777777" w:rsidR="00B53F6B" w:rsidRDefault="00B53F6B" w:rsidP="00B53F6B">
      <w:pPr>
        <w:pStyle w:val="Heading1"/>
        <w:ind w:left="726"/>
      </w:pPr>
      <w:r>
        <w:rPr>
          <w:lang w:val="sl"/>
        </w:rPr>
        <w:t>Vsebino</w:t>
      </w:r>
    </w:p>
    <w:p w14:paraId="6FCBA123" w14:textId="77777777" w:rsidR="00B53F6B" w:rsidRDefault="00B53F6B" w:rsidP="00B53F6B">
      <w:pPr>
        <w:spacing w:after="0" w:line="259" w:lineRule="auto"/>
        <w:ind w:left="720" w:firstLine="0"/>
      </w:pPr>
      <w:r>
        <w:rPr>
          <w:b/>
          <w:sz w:val="28"/>
        </w:rPr>
        <w:t xml:space="preserve"> </w:t>
      </w:r>
    </w:p>
    <w:p w14:paraId="71F1A37D" w14:textId="77777777" w:rsidR="00B53F6B" w:rsidRDefault="00B53F6B" w:rsidP="00B53F6B">
      <w:pPr>
        <w:pStyle w:val="Heading2"/>
        <w:ind w:left="715"/>
      </w:pPr>
      <w:r>
        <w:rPr>
          <w:lang w:val="sl"/>
        </w:rPr>
        <w:t>Predgovor</w:t>
      </w:r>
    </w:p>
    <w:p w14:paraId="5E19E247" w14:textId="77777777" w:rsidR="00B53F6B" w:rsidRDefault="00B53F6B" w:rsidP="00B53F6B">
      <w:pPr>
        <w:spacing w:after="0" w:line="259" w:lineRule="auto"/>
        <w:ind w:left="720" w:firstLine="0"/>
      </w:pPr>
      <w:r>
        <w:t xml:space="preserve"> </w:t>
      </w:r>
    </w:p>
    <w:p w14:paraId="220A9EFA" w14:textId="77777777" w:rsidR="00B53F6B" w:rsidRDefault="00B53F6B" w:rsidP="00B53F6B">
      <w:pPr>
        <w:tabs>
          <w:tab w:val="center" w:pos="2510"/>
          <w:tab w:val="center" w:pos="10587"/>
        </w:tabs>
        <w:ind w:left="0" w:firstLine="0"/>
      </w:pPr>
      <w:r>
        <w:rPr>
          <w:sz w:val="22"/>
          <w:lang w:val="sl"/>
        </w:rPr>
        <w:tab/>
      </w:r>
      <w:r>
        <w:rPr>
          <w:lang w:val="sl"/>
        </w:rPr>
        <w:t xml:space="preserve">Namen načel in standardov </w:t>
      </w:r>
      <w:r>
        <w:rPr>
          <w:lang w:val="sl"/>
        </w:rPr>
        <w:tab/>
        <w:t>3</w:t>
      </w:r>
    </w:p>
    <w:p w14:paraId="0C81A6DA" w14:textId="77777777" w:rsidR="00B53F6B" w:rsidRDefault="00B53F6B" w:rsidP="00B53F6B">
      <w:pPr>
        <w:tabs>
          <w:tab w:val="center" w:pos="2072"/>
          <w:tab w:val="center" w:pos="10587"/>
        </w:tabs>
        <w:ind w:left="0" w:firstLine="0"/>
      </w:pPr>
      <w:r>
        <w:rPr>
          <w:sz w:val="22"/>
          <w:lang w:val="sl"/>
        </w:rPr>
        <w:tab/>
      </w:r>
      <w:r>
        <w:rPr>
          <w:lang w:val="sl"/>
        </w:rPr>
        <w:t xml:space="preserve">Razvoj tega dokumenta </w:t>
      </w:r>
      <w:r>
        <w:rPr>
          <w:lang w:val="sl"/>
        </w:rPr>
        <w:tab/>
        <w:t>3</w:t>
      </w:r>
    </w:p>
    <w:p w14:paraId="64EABE5A" w14:textId="77777777" w:rsidR="00B53F6B" w:rsidRDefault="00B53F6B" w:rsidP="00B53F6B">
      <w:pPr>
        <w:spacing w:after="24" w:line="259" w:lineRule="auto"/>
        <w:ind w:left="720" w:firstLine="0"/>
      </w:pPr>
      <w:r>
        <w:t xml:space="preserve"> </w:t>
      </w:r>
    </w:p>
    <w:p w14:paraId="1C9575A3" w14:textId="77777777" w:rsidR="00B53F6B" w:rsidRDefault="00B53F6B" w:rsidP="00B53F6B">
      <w:pPr>
        <w:pStyle w:val="Heading2"/>
        <w:tabs>
          <w:tab w:val="center" w:pos="1819"/>
          <w:tab w:val="center" w:pos="10587"/>
        </w:tabs>
        <w:ind w:left="0" w:firstLine="0"/>
      </w:pPr>
      <w:r>
        <w:rPr>
          <w:b w:val="0"/>
          <w:sz w:val="22"/>
          <w:lang w:val="sl"/>
        </w:rPr>
        <w:tab/>
      </w:r>
      <w:r>
        <w:rPr>
          <w:sz w:val="20"/>
          <w:lang w:val="sl"/>
        </w:rPr>
        <w:t xml:space="preserve">1 </w:t>
      </w:r>
      <w:r>
        <w:rPr>
          <w:lang w:val="sl"/>
        </w:rPr>
        <w:t xml:space="preserve">Uvod </w:t>
      </w:r>
      <w:r>
        <w:rPr>
          <w:sz w:val="20"/>
          <w:lang w:val="sl"/>
        </w:rPr>
        <w:tab/>
      </w:r>
      <w:r>
        <w:rPr>
          <w:b w:val="0"/>
          <w:sz w:val="20"/>
          <w:lang w:val="sl"/>
        </w:rPr>
        <w:t xml:space="preserve"> 4</w:t>
      </w:r>
    </w:p>
    <w:p w14:paraId="2CCEBA1E" w14:textId="77777777" w:rsidR="00B53F6B" w:rsidRDefault="00B53F6B" w:rsidP="00B53F6B">
      <w:pPr>
        <w:spacing w:after="0" w:line="259" w:lineRule="auto"/>
        <w:ind w:left="720" w:firstLine="0"/>
      </w:pPr>
      <w:r>
        <w:t xml:space="preserve"> </w:t>
      </w:r>
    </w:p>
    <w:p w14:paraId="11C6EAD1" w14:textId="77777777" w:rsidR="00B53F6B" w:rsidRDefault="00B53F6B" w:rsidP="00B53F6B">
      <w:pPr>
        <w:tabs>
          <w:tab w:val="center" w:pos="720"/>
          <w:tab w:val="center" w:pos="1362"/>
          <w:tab w:val="center" w:pos="10587"/>
        </w:tabs>
        <w:spacing w:after="49"/>
        <w:ind w:left="0" w:firstLine="0"/>
      </w:pPr>
      <w:r>
        <w:rPr>
          <w:sz w:val="22"/>
          <w:lang w:val="sl"/>
        </w:rPr>
        <w:tab/>
      </w:r>
      <w:r>
        <w:rPr>
          <w:b/>
          <w:lang w:val="sl"/>
        </w:rPr>
        <w:tab/>
      </w:r>
      <w:r>
        <w:rPr>
          <w:lang w:val="sl"/>
        </w:rPr>
        <w:t xml:space="preserve">Področje uporabe </w:t>
      </w:r>
      <w:r>
        <w:rPr>
          <w:lang w:val="sl"/>
        </w:rPr>
        <w:tab/>
        <w:t>4</w:t>
      </w:r>
    </w:p>
    <w:p w14:paraId="172B0635" w14:textId="77777777" w:rsidR="00B53F6B" w:rsidRDefault="00B53F6B" w:rsidP="00B53F6B">
      <w:pPr>
        <w:tabs>
          <w:tab w:val="center" w:pos="720"/>
          <w:tab w:val="center" w:pos="2251"/>
          <w:tab w:val="center" w:pos="10587"/>
        </w:tabs>
        <w:spacing w:after="47"/>
        <w:ind w:left="0" w:firstLine="0"/>
      </w:pPr>
      <w:r>
        <w:rPr>
          <w:sz w:val="22"/>
          <w:lang w:val="sl"/>
        </w:rPr>
        <w:tab/>
      </w:r>
      <w:r>
        <w:rPr>
          <w:lang w:val="sl"/>
        </w:rPr>
        <w:tab/>
        <w:t xml:space="preserve">Uporaba za vse člane </w:t>
      </w:r>
      <w:r>
        <w:rPr>
          <w:lang w:val="sl"/>
        </w:rPr>
        <w:tab/>
        <w:t>4</w:t>
      </w:r>
    </w:p>
    <w:p w14:paraId="6899CE28" w14:textId="77777777" w:rsidR="00B53F6B" w:rsidRDefault="00B53F6B" w:rsidP="00B53F6B">
      <w:pPr>
        <w:tabs>
          <w:tab w:val="center" w:pos="720"/>
          <w:tab w:val="center" w:pos="1361"/>
          <w:tab w:val="center" w:pos="10587"/>
        </w:tabs>
        <w:spacing w:after="47"/>
        <w:ind w:left="0" w:firstLine="0"/>
      </w:pPr>
      <w:r>
        <w:rPr>
          <w:sz w:val="22"/>
          <w:lang w:val="sl"/>
        </w:rPr>
        <w:tab/>
      </w:r>
      <w:r>
        <w:rPr>
          <w:lang w:val="sl"/>
        </w:rPr>
        <w:tab/>
        <w:t xml:space="preserve">Stanje </w:t>
      </w:r>
      <w:r>
        <w:rPr>
          <w:lang w:val="sl"/>
        </w:rPr>
        <w:tab/>
        <w:t>5</w:t>
      </w:r>
    </w:p>
    <w:p w14:paraId="6F86C97E" w14:textId="77777777" w:rsidR="00B53F6B" w:rsidRDefault="00B53F6B" w:rsidP="00B53F6B">
      <w:pPr>
        <w:spacing w:line="301" w:lineRule="auto"/>
        <w:ind w:left="724" w:right="15"/>
      </w:pPr>
      <w:r>
        <w:rPr>
          <w:lang w:val="sl"/>
        </w:rPr>
        <w:t xml:space="preserve">Razlaga </w:t>
      </w:r>
      <w:r>
        <w:rPr>
          <w:lang w:val="sl"/>
        </w:rPr>
        <w:tab/>
        <w:t xml:space="preserve">5 okrajšav </w:t>
      </w:r>
      <w:r>
        <w:rPr>
          <w:lang w:val="sl"/>
        </w:rPr>
        <w:tab/>
        <w:t xml:space="preserve"> 5</w:t>
      </w:r>
    </w:p>
    <w:p w14:paraId="20ECD55F" w14:textId="77777777" w:rsidR="00B53F6B" w:rsidRDefault="00B53F6B" w:rsidP="00B53F6B">
      <w:pPr>
        <w:spacing w:after="77" w:line="259" w:lineRule="auto"/>
        <w:ind w:left="720" w:firstLine="0"/>
      </w:pPr>
      <w:r>
        <w:t xml:space="preserve"> </w:t>
      </w:r>
    </w:p>
    <w:p w14:paraId="38C254E2" w14:textId="77777777" w:rsidR="00B53F6B" w:rsidRDefault="00B53F6B" w:rsidP="00B53F6B">
      <w:pPr>
        <w:pStyle w:val="Heading2"/>
        <w:tabs>
          <w:tab w:val="center" w:pos="2845"/>
          <w:tab w:val="center" w:pos="10587"/>
        </w:tabs>
        <w:ind w:left="0" w:firstLine="0"/>
      </w:pPr>
      <w:r>
        <w:rPr>
          <w:b w:val="0"/>
          <w:sz w:val="22"/>
          <w:lang w:val="sl"/>
        </w:rPr>
        <w:tab/>
      </w:r>
      <w:r>
        <w:rPr>
          <w:lang w:val="sl"/>
        </w:rPr>
        <w:t>2 temeljna načela</w:t>
      </w:r>
      <w:r>
        <w:rPr>
          <w:b w:val="0"/>
          <w:lang w:val="sl"/>
        </w:rPr>
        <w:tab/>
      </w:r>
      <w:r>
        <w:rPr>
          <w:b w:val="0"/>
          <w:sz w:val="20"/>
          <w:lang w:val="sl"/>
        </w:rPr>
        <w:t xml:space="preserve"> 6</w:t>
      </w:r>
    </w:p>
    <w:p w14:paraId="123F44DC" w14:textId="77777777" w:rsidR="00B53F6B" w:rsidRDefault="00B53F6B" w:rsidP="00B53F6B">
      <w:pPr>
        <w:spacing w:after="0" w:line="259" w:lineRule="auto"/>
        <w:ind w:left="720" w:firstLine="0"/>
      </w:pPr>
      <w:r>
        <w:t xml:space="preserve"> </w:t>
      </w:r>
    </w:p>
    <w:p w14:paraId="20416ED6" w14:textId="77777777" w:rsidR="00B53F6B" w:rsidRDefault="00B53F6B" w:rsidP="00B53F6B">
      <w:pPr>
        <w:spacing w:line="301" w:lineRule="auto"/>
        <w:ind w:left="724" w:right="15"/>
      </w:pPr>
      <w:r>
        <w:rPr>
          <w:lang w:val="sl"/>
        </w:rPr>
        <w:t xml:space="preserve">Integriteta </w:t>
      </w:r>
      <w:r>
        <w:rPr>
          <w:lang w:val="sl"/>
        </w:rPr>
        <w:tab/>
        <w:t xml:space="preserve">6 objektivnost  </w:t>
      </w:r>
      <w:r>
        <w:rPr>
          <w:lang w:val="sl"/>
        </w:rPr>
        <w:tab/>
        <w:t>6</w:t>
      </w:r>
    </w:p>
    <w:p w14:paraId="0945C317" w14:textId="77777777" w:rsidR="00B53F6B" w:rsidRDefault="00B53F6B" w:rsidP="00B53F6B">
      <w:pPr>
        <w:tabs>
          <w:tab w:val="center" w:pos="720"/>
          <w:tab w:val="center" w:pos="2812"/>
          <w:tab w:val="center" w:pos="10587"/>
        </w:tabs>
        <w:spacing w:after="49"/>
        <w:ind w:left="0" w:firstLine="0"/>
      </w:pPr>
      <w:r>
        <w:rPr>
          <w:sz w:val="22"/>
          <w:lang w:val="sl"/>
        </w:rPr>
        <w:tab/>
      </w:r>
      <w:r>
        <w:rPr>
          <w:lang w:val="sl"/>
        </w:rPr>
        <w:tab/>
        <w:t xml:space="preserve">Strokovna usposobljenost in skrbnost </w:t>
      </w:r>
      <w:r>
        <w:rPr>
          <w:lang w:val="sl"/>
        </w:rPr>
        <w:tab/>
        <w:t>6</w:t>
      </w:r>
    </w:p>
    <w:p w14:paraId="5459F76F" w14:textId="77777777" w:rsidR="00B53F6B" w:rsidRDefault="00B53F6B" w:rsidP="00B53F6B">
      <w:pPr>
        <w:tabs>
          <w:tab w:val="center" w:pos="720"/>
          <w:tab w:val="center" w:pos="1706"/>
          <w:tab w:val="center" w:pos="10586"/>
        </w:tabs>
        <w:spacing w:after="47"/>
        <w:ind w:left="0" w:firstLine="0"/>
      </w:pPr>
      <w:r>
        <w:rPr>
          <w:sz w:val="22"/>
          <w:lang w:val="sl"/>
        </w:rPr>
        <w:tab/>
      </w:r>
      <w:r>
        <w:rPr>
          <w:lang w:val="sl"/>
        </w:rPr>
        <w:tab/>
        <w:t xml:space="preserve">Zaupnost </w:t>
      </w:r>
      <w:r>
        <w:rPr>
          <w:lang w:val="sl"/>
        </w:rPr>
        <w:tab/>
        <w:t>7</w:t>
      </w:r>
    </w:p>
    <w:p w14:paraId="1A76525D" w14:textId="77777777" w:rsidR="00B53F6B" w:rsidRDefault="00B53F6B" w:rsidP="00B53F6B">
      <w:pPr>
        <w:tabs>
          <w:tab w:val="center" w:pos="719"/>
          <w:tab w:val="center" w:pos="2094"/>
          <w:tab w:val="center" w:pos="10586"/>
        </w:tabs>
        <w:spacing w:after="30"/>
        <w:ind w:left="0" w:firstLine="0"/>
      </w:pPr>
      <w:r>
        <w:rPr>
          <w:sz w:val="22"/>
          <w:lang w:val="sl"/>
        </w:rPr>
        <w:tab/>
      </w:r>
      <w:r>
        <w:rPr>
          <w:lang w:val="sl"/>
        </w:rPr>
        <w:tab/>
        <w:t xml:space="preserve">Poklicno obnašanje </w:t>
      </w:r>
      <w:r>
        <w:rPr>
          <w:lang w:val="sl"/>
        </w:rPr>
        <w:tab/>
        <w:t>8</w:t>
      </w:r>
    </w:p>
    <w:p w14:paraId="484288FC" w14:textId="77777777" w:rsidR="00B53F6B" w:rsidRDefault="00B53F6B" w:rsidP="00B53F6B">
      <w:pPr>
        <w:spacing w:after="57" w:line="259" w:lineRule="auto"/>
        <w:ind w:left="719" w:firstLine="0"/>
      </w:pPr>
      <w:r>
        <w:t xml:space="preserve"> </w:t>
      </w:r>
    </w:p>
    <w:p w14:paraId="3B8E0529" w14:textId="77777777" w:rsidR="00B53F6B" w:rsidRDefault="00B53F6B" w:rsidP="00B53F6B">
      <w:pPr>
        <w:pStyle w:val="Heading2"/>
        <w:tabs>
          <w:tab w:val="center" w:pos="3144"/>
          <w:tab w:val="center" w:pos="10587"/>
        </w:tabs>
        <w:ind w:left="0" w:firstLine="0"/>
      </w:pPr>
      <w:r>
        <w:rPr>
          <w:b w:val="0"/>
          <w:sz w:val="22"/>
          <w:lang w:val="sl"/>
        </w:rPr>
        <w:tab/>
      </w:r>
      <w:r>
        <w:rPr>
          <w:sz w:val="20"/>
          <w:lang w:val="sl"/>
        </w:rPr>
        <w:t xml:space="preserve">3 </w:t>
      </w:r>
      <w:r>
        <w:rPr>
          <w:lang w:val="sl"/>
        </w:rPr>
        <w:t xml:space="preserve">standardi za davčno načrtovanje </w:t>
      </w:r>
      <w:r>
        <w:rPr>
          <w:b w:val="0"/>
          <w:sz w:val="20"/>
          <w:lang w:val="sl"/>
        </w:rPr>
        <w:tab/>
        <w:t xml:space="preserve"> 8</w:t>
      </w:r>
    </w:p>
    <w:p w14:paraId="5268D906" w14:textId="77777777" w:rsidR="00B53F6B" w:rsidRDefault="00B53F6B" w:rsidP="00B53F6B">
      <w:pPr>
        <w:spacing w:after="0" w:line="259" w:lineRule="auto"/>
        <w:ind w:left="720" w:firstLine="0"/>
      </w:pPr>
      <w:r>
        <w:t xml:space="preserve"> </w:t>
      </w:r>
    </w:p>
    <w:p w14:paraId="1B5AA0EF" w14:textId="77777777" w:rsidR="00B53F6B" w:rsidRDefault="00B53F6B" w:rsidP="00B53F6B">
      <w:pPr>
        <w:tabs>
          <w:tab w:val="center" w:pos="720"/>
          <w:tab w:val="center" w:pos="1711"/>
          <w:tab w:val="center" w:pos="10587"/>
        </w:tabs>
        <w:spacing w:after="49"/>
        <w:ind w:left="0" w:firstLine="0"/>
      </w:pPr>
      <w:r>
        <w:rPr>
          <w:sz w:val="22"/>
          <w:lang w:val="sl"/>
        </w:rPr>
        <w:tab/>
      </w:r>
      <w:r>
        <w:rPr>
          <w:lang w:val="sl"/>
        </w:rPr>
        <w:tab/>
        <w:t xml:space="preserve">Posebni odjemalec </w:t>
      </w:r>
      <w:r>
        <w:rPr>
          <w:lang w:val="sl"/>
        </w:rPr>
        <w:tab/>
        <w:t>9</w:t>
      </w:r>
    </w:p>
    <w:p w14:paraId="7EDCBDEC" w14:textId="77777777" w:rsidR="00B53F6B" w:rsidRDefault="00B53F6B" w:rsidP="00B53F6B">
      <w:pPr>
        <w:tabs>
          <w:tab w:val="center" w:pos="720"/>
          <w:tab w:val="center" w:pos="1367"/>
          <w:tab w:val="center" w:pos="10586"/>
        </w:tabs>
        <w:spacing w:after="47"/>
        <w:ind w:left="0" w:firstLine="0"/>
      </w:pPr>
      <w:r>
        <w:rPr>
          <w:sz w:val="22"/>
          <w:lang w:val="sl"/>
        </w:rPr>
        <w:tab/>
      </w:r>
      <w:r>
        <w:rPr>
          <w:lang w:val="sl"/>
        </w:rPr>
        <w:tab/>
        <w:t xml:space="preserve">Zakonito </w:t>
      </w:r>
      <w:r>
        <w:rPr>
          <w:lang w:val="sl"/>
        </w:rPr>
        <w:tab/>
        <w:t>9</w:t>
      </w:r>
    </w:p>
    <w:p w14:paraId="756F036A" w14:textId="77777777" w:rsidR="00B53F6B" w:rsidRDefault="00B53F6B" w:rsidP="00B53F6B">
      <w:pPr>
        <w:spacing w:line="301" w:lineRule="auto"/>
        <w:ind w:left="724" w:right="15"/>
      </w:pPr>
      <w:r>
        <w:rPr>
          <w:lang w:val="sl"/>
        </w:rPr>
        <w:tab/>
        <w:t xml:space="preserve">Razkritje in preglednost </w:t>
      </w:r>
      <w:r>
        <w:rPr>
          <w:lang w:val="sl"/>
        </w:rPr>
        <w:tab/>
        <w:t xml:space="preserve">10  </w:t>
      </w:r>
      <w:r>
        <w:rPr>
          <w:lang w:val="sl"/>
        </w:rPr>
        <w:tab/>
        <w:t xml:space="preserve">ureditev davčnega načrtovanja  </w:t>
      </w:r>
      <w:r>
        <w:rPr>
          <w:lang w:val="sl"/>
        </w:rPr>
        <w:tab/>
        <w:t>10</w:t>
      </w:r>
    </w:p>
    <w:p w14:paraId="3EE2DCF0" w14:textId="77777777" w:rsidR="00B53F6B" w:rsidRDefault="00B53F6B" w:rsidP="00B53F6B">
      <w:pPr>
        <w:tabs>
          <w:tab w:val="center" w:pos="720"/>
          <w:tab w:val="center" w:pos="3534"/>
          <w:tab w:val="center" w:pos="10532"/>
        </w:tabs>
        <w:spacing w:after="30"/>
        <w:ind w:left="0" w:firstLine="0"/>
      </w:pPr>
      <w:r>
        <w:rPr>
          <w:sz w:val="22"/>
          <w:lang w:val="sl"/>
        </w:rPr>
        <w:tab/>
      </w:r>
      <w:r>
        <w:rPr>
          <w:lang w:val="sl"/>
        </w:rPr>
        <w:tab/>
        <w:t xml:space="preserve">Strokovna presoja in ustrezna dokumentacija </w:t>
      </w:r>
      <w:r>
        <w:rPr>
          <w:lang w:val="sl"/>
        </w:rPr>
        <w:tab/>
        <w:t>10</w:t>
      </w:r>
    </w:p>
    <w:p w14:paraId="2042BE87" w14:textId="77777777" w:rsidR="00B53F6B" w:rsidRDefault="00B53F6B" w:rsidP="00B53F6B">
      <w:pPr>
        <w:spacing w:after="16" w:line="259" w:lineRule="auto"/>
        <w:ind w:left="720" w:firstLine="0"/>
      </w:pPr>
      <w:r>
        <w:t xml:space="preserve"> </w:t>
      </w:r>
    </w:p>
    <w:p w14:paraId="3B9404A1" w14:textId="77777777" w:rsidR="00B53F6B" w:rsidRDefault="00B53F6B" w:rsidP="00B53F6B">
      <w:pPr>
        <w:spacing w:after="0" w:line="259" w:lineRule="auto"/>
        <w:ind w:left="720" w:firstLine="0"/>
      </w:pPr>
      <w:r>
        <w:t xml:space="preserve"> </w:t>
      </w:r>
    </w:p>
    <w:p w14:paraId="3882682F" w14:textId="77777777" w:rsidR="00B53F6B" w:rsidRDefault="00B53F6B" w:rsidP="00B53F6B">
      <w:pPr>
        <w:spacing w:after="22" w:line="259" w:lineRule="auto"/>
        <w:ind w:left="704" w:firstLine="0"/>
      </w:pPr>
      <w:r>
        <w:t xml:space="preserve"> </w:t>
      </w:r>
    </w:p>
    <w:p w14:paraId="7DE3A8CA" w14:textId="77777777" w:rsidR="00B53F6B" w:rsidRDefault="00B53F6B" w:rsidP="00B53F6B">
      <w:pPr>
        <w:spacing w:after="212" w:line="259" w:lineRule="auto"/>
        <w:ind w:left="720" w:firstLine="0"/>
      </w:pPr>
      <w:r>
        <w:t xml:space="preserve"> </w:t>
      </w:r>
    </w:p>
    <w:p w14:paraId="21CF45CB" w14:textId="77777777" w:rsidR="00B53F6B" w:rsidRDefault="00B53F6B" w:rsidP="00B53F6B">
      <w:pPr>
        <w:spacing w:after="0" w:line="259" w:lineRule="auto"/>
        <w:ind w:left="720" w:firstLine="0"/>
      </w:pPr>
      <w:r>
        <w:t xml:space="preserve"> </w:t>
      </w:r>
      <w:r>
        <w:tab/>
        <w:t xml:space="preserve"> </w:t>
      </w:r>
    </w:p>
    <w:p w14:paraId="27B552B1" w14:textId="77777777" w:rsidR="00B53F6B" w:rsidRDefault="00B53F6B" w:rsidP="00B53F6B">
      <w:pPr>
        <w:pStyle w:val="Heading1"/>
        <w:spacing w:after="61"/>
        <w:ind w:left="726"/>
      </w:pPr>
      <w:r>
        <w:rPr>
          <w:lang w:val="sl"/>
        </w:rPr>
        <w:t>Predgovor</w:t>
      </w:r>
    </w:p>
    <w:p w14:paraId="723210E3" w14:textId="77777777" w:rsidR="00B53F6B" w:rsidRDefault="00B53F6B" w:rsidP="00B53F6B">
      <w:pPr>
        <w:spacing w:after="0" w:line="259" w:lineRule="auto"/>
        <w:ind w:left="720" w:firstLine="0"/>
      </w:pPr>
      <w:r>
        <w:t xml:space="preserve"> </w:t>
      </w:r>
    </w:p>
    <w:p w14:paraId="05BEC456" w14:textId="77777777" w:rsidR="00B53F6B" w:rsidRDefault="00B53F6B" w:rsidP="00B53F6B">
      <w:pPr>
        <w:ind w:left="724" w:right="15"/>
      </w:pPr>
      <w:r>
        <w:rPr>
          <w:lang w:val="sl"/>
        </w:rPr>
        <w:t>Poklicno ravnanje v zvezi z obdavčevanjem (PCRT) določa temeljna načela in standarde za davčno načrtovanje, ki naj bi jih spremljali vsi člani.</w:t>
      </w:r>
    </w:p>
    <w:p w14:paraId="027ED211" w14:textId="77777777" w:rsidR="00B53F6B" w:rsidRDefault="00B53F6B" w:rsidP="00B53F6B">
      <w:pPr>
        <w:spacing w:after="16" w:line="259" w:lineRule="auto"/>
        <w:ind w:left="720" w:firstLine="0"/>
      </w:pPr>
      <w:r>
        <w:t xml:space="preserve"> </w:t>
      </w:r>
    </w:p>
    <w:p w14:paraId="564D79D7" w14:textId="77777777" w:rsidR="00B53F6B" w:rsidRDefault="00B53F6B" w:rsidP="00B53F6B">
      <w:pPr>
        <w:ind w:left="724" w:right="15"/>
      </w:pPr>
      <w:r>
        <w:rPr>
          <w:lang w:val="sl"/>
        </w:rPr>
        <w:lastRenderedPageBreak/>
        <w:t>Davčni svetovalci delujejo v zapletenem poslovnem in finančnem okolju, glavni namen davčnega sistema pa je financirati javne storitve in zagotoviti dobro zdravje našega gospodarstva in družbe.  Davčni svetovalci so zato odgovorni, da služijo interesom svojih strank, pri čemer upoštevajo ugled poklica in potrebo po upoštevanju širšega javnega interesa.</w:t>
      </w:r>
    </w:p>
    <w:p w14:paraId="754818A1" w14:textId="77777777" w:rsidR="00B53F6B" w:rsidRDefault="00B53F6B" w:rsidP="00B53F6B">
      <w:pPr>
        <w:spacing w:after="16" w:line="259" w:lineRule="auto"/>
        <w:ind w:left="720" w:firstLine="0"/>
      </w:pPr>
      <w:r>
        <w:t xml:space="preserve"> </w:t>
      </w:r>
    </w:p>
    <w:p w14:paraId="69E5BC11" w14:textId="77777777" w:rsidR="00B53F6B" w:rsidRDefault="00B53F6B" w:rsidP="00B53F6B">
      <w:pPr>
        <w:ind w:left="724" w:right="15"/>
      </w:pPr>
      <w:r>
        <w:rPr>
          <w:lang w:val="sl"/>
        </w:rPr>
        <w:t xml:space="preserve">Namen PCRT-jev je usmerjanje članov v njihovo obnašanje, njihovo pomoč in zagotovitev, da se bodo učinkovito in ustrezno lotili dela. Če so pomisleki o članih, bomo upoštevali ta načela in standarde pri odločanju, ali  naj ukrepajo in neupoštevanje </w:t>
      </w:r>
      <w:proofErr w:type="spellStart"/>
      <w:r>
        <w:rPr>
          <w:lang w:val="sl"/>
        </w:rPr>
        <w:t>pcrt</w:t>
      </w:r>
      <w:proofErr w:type="spellEnd"/>
      <w:r>
        <w:rPr>
          <w:lang w:val="sl"/>
        </w:rPr>
        <w:t xml:space="preserve"> lahko ogrozijo člane.</w:t>
      </w:r>
    </w:p>
    <w:p w14:paraId="2D6CC174" w14:textId="77777777" w:rsidR="00B53F6B" w:rsidRDefault="00B53F6B" w:rsidP="00B53F6B">
      <w:pPr>
        <w:spacing w:after="35" w:line="259" w:lineRule="auto"/>
        <w:ind w:left="720" w:firstLine="0"/>
      </w:pPr>
      <w:r>
        <w:t xml:space="preserve"> </w:t>
      </w:r>
    </w:p>
    <w:p w14:paraId="40463A7C" w14:textId="77777777" w:rsidR="00B53F6B" w:rsidRDefault="00B53F6B" w:rsidP="00B53F6B">
      <w:pPr>
        <w:pStyle w:val="Heading2"/>
        <w:ind w:left="715"/>
      </w:pPr>
      <w:r>
        <w:rPr>
          <w:sz w:val="22"/>
          <w:lang w:val="sl"/>
        </w:rPr>
        <w:t>Namen načel in standardov</w:t>
      </w:r>
    </w:p>
    <w:p w14:paraId="613E7B7D" w14:textId="77777777" w:rsidR="00B53F6B" w:rsidRDefault="00B53F6B" w:rsidP="00B53F6B">
      <w:pPr>
        <w:spacing w:after="0" w:line="259" w:lineRule="auto"/>
        <w:ind w:left="720" w:firstLine="0"/>
      </w:pPr>
      <w:r>
        <w:t xml:space="preserve"> </w:t>
      </w:r>
    </w:p>
    <w:p w14:paraId="35145F73" w14:textId="77777777" w:rsidR="00B53F6B" w:rsidRDefault="00B53F6B" w:rsidP="00B53F6B">
      <w:pPr>
        <w:ind w:left="724" w:right="15"/>
      </w:pPr>
      <w:r>
        <w:rPr>
          <w:lang w:val="sl"/>
        </w:rPr>
        <w:t>PCRT opisuje vedenje, ki se zahteva od članov, sestavljen iz petih načel in petih standardov. Na voljo so spremljevalni listi pomoči, ki članom pomagajo razumeti in biti sposobni izpolniti načela in standarde ter zagotoviti smernice o vprašanjih, ki jih zakonodaja ne ureja.</w:t>
      </w:r>
    </w:p>
    <w:p w14:paraId="699E8DF9" w14:textId="77777777" w:rsidR="00B53F6B" w:rsidRDefault="00B53F6B" w:rsidP="00B53F6B">
      <w:pPr>
        <w:spacing w:after="16" w:line="259" w:lineRule="auto"/>
        <w:ind w:left="720" w:firstLine="0"/>
      </w:pPr>
      <w:r>
        <w:t xml:space="preserve"> </w:t>
      </w:r>
    </w:p>
    <w:p w14:paraId="02B98970" w14:textId="77777777" w:rsidR="00B53F6B" w:rsidRDefault="00B53F6B" w:rsidP="00B53F6B">
      <w:pPr>
        <w:ind w:left="724" w:right="15"/>
      </w:pPr>
      <w:r>
        <w:rPr>
          <w:lang w:val="sl"/>
        </w:rPr>
        <w:t>Ta dokument ima vrsto zainteresiranih strani, ki zajemajo člane, stranke, strokovne organe, javnost in agencije, vključno s HMRC.</w:t>
      </w:r>
    </w:p>
    <w:p w14:paraId="22DA4A75" w14:textId="77777777" w:rsidR="00B53F6B" w:rsidRDefault="00B53F6B" w:rsidP="00B53F6B">
      <w:pPr>
        <w:spacing w:after="16" w:line="259" w:lineRule="auto"/>
        <w:ind w:left="720" w:firstLine="0"/>
      </w:pPr>
      <w:r>
        <w:t xml:space="preserve"> </w:t>
      </w:r>
    </w:p>
    <w:p w14:paraId="2B6729E6" w14:textId="77777777" w:rsidR="00B53F6B" w:rsidRDefault="00B53F6B" w:rsidP="00B53F6B">
      <w:pPr>
        <w:ind w:left="724" w:right="15"/>
      </w:pPr>
      <w:r>
        <w:rPr>
          <w:lang w:val="sl"/>
        </w:rPr>
        <w:t>Zavedamo se, da člani, študenti in tisti, ki so povezani s strokovnimi telesi delajo v različnih okoljih, tako v Združenem kraljestvu kot v tujini, in PCRT je bil razvit, da se uporablja za široko paleto delovnih okoljih. PCRT se uporablja za vse člane, ki svetujejo o davčnih zadevah v Združenem kraljestvu, ne glede na pogodbe o zaposlitvi, članstvo v drugih strokovnih organizacijah ali kjer v svetu delajo in prebivajo (glej 1,7 za nadaljnje svetovanje).</w:t>
      </w:r>
    </w:p>
    <w:p w14:paraId="2FBF1A4C" w14:textId="77777777" w:rsidR="00B53F6B" w:rsidRDefault="00B53F6B" w:rsidP="00B53F6B">
      <w:pPr>
        <w:spacing w:after="16" w:line="259" w:lineRule="auto"/>
        <w:ind w:left="720" w:firstLine="0"/>
      </w:pPr>
      <w:r>
        <w:t xml:space="preserve"> </w:t>
      </w:r>
    </w:p>
    <w:p w14:paraId="5160A2DC" w14:textId="77777777" w:rsidR="00B53F6B" w:rsidRDefault="00B53F6B" w:rsidP="00B53F6B">
      <w:pPr>
        <w:ind w:left="724" w:right="15"/>
      </w:pPr>
      <w:r>
        <w:rPr>
          <w:lang w:val="sl"/>
        </w:rPr>
        <w:t>Če smo obveščeni o pomislekih glede vedenja člana, ki vključuje davčne zadeve, bomo PCRT upoštevali pri ugotavljanju, ali je disciplinski ukrep potreben in ali član še naprej podpira visoke standarde, potrebne za članstvo z našimi Organizacije. Člani so strokovnjaki, sposobni sprejemati informirane odločitve v zvezi z njihovim delom in zato je PCRT zasnovan tako, da podpira to.</w:t>
      </w:r>
    </w:p>
    <w:p w14:paraId="0354B62E" w14:textId="77777777" w:rsidR="00B53F6B" w:rsidRDefault="00B53F6B" w:rsidP="00B53F6B">
      <w:pPr>
        <w:spacing w:after="16" w:line="259" w:lineRule="auto"/>
        <w:ind w:left="719" w:firstLine="0"/>
      </w:pPr>
      <w:r>
        <w:t xml:space="preserve"> </w:t>
      </w:r>
    </w:p>
    <w:p w14:paraId="63DDB789" w14:textId="77777777" w:rsidR="00B53F6B" w:rsidRDefault="00B53F6B" w:rsidP="00B53F6B">
      <w:pPr>
        <w:ind w:left="724" w:right="15"/>
      </w:pPr>
      <w:r>
        <w:rPr>
          <w:b/>
          <w:lang w:val="sl"/>
        </w:rPr>
        <w:t>Davčna utaja</w:t>
      </w:r>
      <w:r>
        <w:rPr>
          <w:lang w:val="sl"/>
        </w:rPr>
        <w:t xml:space="preserve"> članica ne sme nikoli biti zavestno vpletena v davčno utajo, čeprav je seveda primerno ukrepati za stranko, ki popravi svoje zadeve.</w:t>
      </w:r>
    </w:p>
    <w:p w14:paraId="4BD6DEC9" w14:textId="77777777" w:rsidR="00B53F6B" w:rsidRDefault="00B53F6B" w:rsidP="00B53F6B">
      <w:pPr>
        <w:spacing w:after="34" w:line="259" w:lineRule="auto"/>
        <w:ind w:left="719" w:firstLine="0"/>
      </w:pPr>
      <w:r>
        <w:t xml:space="preserve"> </w:t>
      </w:r>
    </w:p>
    <w:p w14:paraId="0D2D919A" w14:textId="77777777" w:rsidR="00B53F6B" w:rsidRDefault="00B53F6B" w:rsidP="00B53F6B">
      <w:pPr>
        <w:pStyle w:val="Heading2"/>
        <w:ind w:left="715"/>
      </w:pPr>
      <w:r>
        <w:rPr>
          <w:sz w:val="22"/>
          <w:lang w:val="sl"/>
        </w:rPr>
        <w:t>Razvoj tega dokumenta</w:t>
      </w:r>
    </w:p>
    <w:p w14:paraId="2837667C" w14:textId="77777777" w:rsidR="00B53F6B" w:rsidRDefault="00B53F6B" w:rsidP="00B53F6B">
      <w:pPr>
        <w:spacing w:after="0" w:line="259" w:lineRule="auto"/>
        <w:ind w:left="720" w:firstLine="0"/>
      </w:pPr>
      <w:r>
        <w:t xml:space="preserve"> </w:t>
      </w:r>
    </w:p>
    <w:p w14:paraId="70637CF5" w14:textId="77777777" w:rsidR="00B53F6B" w:rsidRDefault="00B53F6B" w:rsidP="00B53F6B">
      <w:pPr>
        <w:ind w:left="724" w:right="15"/>
      </w:pPr>
      <w:r>
        <w:rPr>
          <w:lang w:val="sl"/>
        </w:rPr>
        <w:t>PCRT je skupaj produciral:</w:t>
      </w:r>
    </w:p>
    <w:p w14:paraId="33BDC202" w14:textId="77777777" w:rsidR="00B53F6B" w:rsidRDefault="00B53F6B" w:rsidP="00B53F6B">
      <w:pPr>
        <w:spacing w:after="13" w:line="259" w:lineRule="auto"/>
        <w:ind w:left="720" w:firstLine="0"/>
      </w:pPr>
      <w:r>
        <w:t xml:space="preserve"> </w:t>
      </w:r>
    </w:p>
    <w:p w14:paraId="11C89C13" w14:textId="77777777" w:rsidR="00B53F6B" w:rsidRDefault="00B53F6B" w:rsidP="00B53F6B">
      <w:pPr>
        <w:numPr>
          <w:ilvl w:val="0"/>
          <w:numId w:val="1"/>
        </w:numPr>
        <w:ind w:right="15" w:hanging="360"/>
      </w:pPr>
      <w:r>
        <w:rPr>
          <w:lang w:val="sl"/>
        </w:rPr>
        <w:t>Združenje računovodskih tehnikov (AAT)</w:t>
      </w:r>
    </w:p>
    <w:p w14:paraId="5818341B" w14:textId="77777777" w:rsidR="00B53F6B" w:rsidRDefault="00B53F6B" w:rsidP="00B53F6B">
      <w:pPr>
        <w:numPr>
          <w:ilvl w:val="0"/>
          <w:numId w:val="1"/>
        </w:numPr>
        <w:ind w:right="15" w:hanging="360"/>
      </w:pPr>
      <w:r>
        <w:rPr>
          <w:lang w:val="sl"/>
        </w:rPr>
        <w:t>Združenje pooblaščenih računovodij (ACCA)</w:t>
      </w:r>
    </w:p>
    <w:p w14:paraId="3393DA48" w14:textId="77777777" w:rsidR="00B53F6B" w:rsidRDefault="00B53F6B" w:rsidP="00B53F6B">
      <w:pPr>
        <w:numPr>
          <w:ilvl w:val="0"/>
          <w:numId w:val="1"/>
        </w:numPr>
        <w:ind w:right="15" w:hanging="360"/>
      </w:pPr>
      <w:r>
        <w:rPr>
          <w:lang w:val="sl"/>
        </w:rPr>
        <w:t>Združenje davčnih tehnikov (ATT)</w:t>
      </w:r>
    </w:p>
    <w:p w14:paraId="4A29DA44" w14:textId="77777777" w:rsidR="00B53F6B" w:rsidRDefault="00B53F6B" w:rsidP="00B53F6B">
      <w:pPr>
        <w:numPr>
          <w:ilvl w:val="0"/>
          <w:numId w:val="1"/>
        </w:numPr>
        <w:ind w:right="15" w:hanging="360"/>
      </w:pPr>
      <w:r>
        <w:rPr>
          <w:lang w:val="sl"/>
        </w:rPr>
        <w:t>Inštitut za obdavčenje (CIOT)</w:t>
      </w:r>
    </w:p>
    <w:p w14:paraId="42A741F0" w14:textId="77777777" w:rsidR="00B53F6B" w:rsidRDefault="00B53F6B" w:rsidP="00B53F6B">
      <w:pPr>
        <w:numPr>
          <w:ilvl w:val="0"/>
          <w:numId w:val="1"/>
        </w:numPr>
        <w:ind w:right="15" w:hanging="360"/>
      </w:pPr>
      <w:r>
        <w:rPr>
          <w:lang w:val="sl"/>
        </w:rPr>
        <w:t xml:space="preserve">Inštitut za </w:t>
      </w:r>
      <w:proofErr w:type="spellStart"/>
      <w:r>
        <w:rPr>
          <w:lang w:val="sl"/>
        </w:rPr>
        <w:t>Chartered</w:t>
      </w:r>
      <w:proofErr w:type="spellEnd"/>
      <w:r>
        <w:rPr>
          <w:lang w:val="sl"/>
        </w:rPr>
        <w:t xml:space="preserve"> </w:t>
      </w:r>
      <w:proofErr w:type="spellStart"/>
      <w:r>
        <w:rPr>
          <w:lang w:val="sl"/>
        </w:rPr>
        <w:t>Accountants</w:t>
      </w:r>
      <w:proofErr w:type="spellEnd"/>
      <w:r>
        <w:rPr>
          <w:lang w:val="sl"/>
        </w:rPr>
        <w:t xml:space="preserve"> v Angliji in Walesu (ICAEW),</w:t>
      </w:r>
    </w:p>
    <w:p w14:paraId="259968DC" w14:textId="77777777" w:rsidR="00B53F6B" w:rsidRDefault="00B53F6B" w:rsidP="00B53F6B">
      <w:pPr>
        <w:numPr>
          <w:ilvl w:val="0"/>
          <w:numId w:val="1"/>
        </w:numPr>
        <w:ind w:right="15" w:hanging="360"/>
      </w:pPr>
      <w:r>
        <w:rPr>
          <w:lang w:val="sl"/>
        </w:rPr>
        <w:t xml:space="preserve">Inštitut za </w:t>
      </w:r>
      <w:proofErr w:type="spellStart"/>
      <w:r>
        <w:rPr>
          <w:lang w:val="sl"/>
        </w:rPr>
        <w:t>Chartered</w:t>
      </w:r>
      <w:proofErr w:type="spellEnd"/>
      <w:r>
        <w:rPr>
          <w:lang w:val="sl"/>
        </w:rPr>
        <w:t xml:space="preserve"> </w:t>
      </w:r>
      <w:proofErr w:type="spellStart"/>
      <w:r>
        <w:rPr>
          <w:lang w:val="sl"/>
        </w:rPr>
        <w:t>Accountants</w:t>
      </w:r>
      <w:proofErr w:type="spellEnd"/>
      <w:r>
        <w:rPr>
          <w:lang w:val="sl"/>
        </w:rPr>
        <w:t xml:space="preserve"> Škotske (ICAS)</w:t>
      </w:r>
    </w:p>
    <w:p w14:paraId="09587D24" w14:textId="77777777" w:rsidR="00B53F6B" w:rsidRDefault="00B53F6B" w:rsidP="00B53F6B">
      <w:pPr>
        <w:numPr>
          <w:ilvl w:val="0"/>
          <w:numId w:val="1"/>
        </w:numPr>
        <w:ind w:right="15" w:hanging="360"/>
      </w:pPr>
      <w:r>
        <w:rPr>
          <w:lang w:val="sl"/>
        </w:rPr>
        <w:t>Društvo zaupanja in nepremičninskih zdravnikov (STEP)</w:t>
      </w:r>
    </w:p>
    <w:p w14:paraId="22C590EB" w14:textId="77777777" w:rsidR="00B53F6B" w:rsidRDefault="00B53F6B" w:rsidP="00B53F6B">
      <w:pPr>
        <w:spacing w:after="16" w:line="259" w:lineRule="auto"/>
        <w:ind w:left="729" w:firstLine="0"/>
      </w:pPr>
      <w:r>
        <w:t xml:space="preserve"> </w:t>
      </w:r>
    </w:p>
    <w:p w14:paraId="10553BC0" w14:textId="77777777" w:rsidR="00B53F6B" w:rsidRDefault="00B53F6B" w:rsidP="00B53F6B">
      <w:pPr>
        <w:ind w:left="724" w:right="15"/>
      </w:pPr>
      <w:r>
        <w:rPr>
          <w:lang w:val="sl"/>
        </w:rPr>
        <w:t xml:space="preserve">PCRT se je od uvedbe leta 1995 razvil, da bi upošteval spreminjajoče se prakse. Poleg tega bi bilo treba PCRT uporabljati skupaj z obstoječimi kodeksi ravnanja/ravnanja vsake organizacije, ob upoštevanju smernic za dobro prakso. HMRC so vključili PCRT v svoje standarde za davčne zastopnike (objavljeno 4. januar 2018). </w:t>
      </w:r>
    </w:p>
    <w:p w14:paraId="30E1E6F4" w14:textId="77777777" w:rsidR="00B53F6B" w:rsidRDefault="00B53F6B" w:rsidP="00B53F6B">
      <w:pPr>
        <w:spacing w:after="0" w:line="259" w:lineRule="auto"/>
        <w:ind w:left="719" w:firstLine="0"/>
      </w:pPr>
      <w:r>
        <w:t xml:space="preserve"> </w:t>
      </w:r>
    </w:p>
    <w:p w14:paraId="6565ECF0" w14:textId="77777777" w:rsidR="00B53F6B" w:rsidRDefault="00B53F6B" w:rsidP="00B53F6B">
      <w:pPr>
        <w:spacing w:after="0" w:line="259" w:lineRule="auto"/>
        <w:ind w:left="719" w:firstLine="0"/>
      </w:pPr>
      <w:r>
        <w:t xml:space="preserve"> </w:t>
      </w:r>
    </w:p>
    <w:p w14:paraId="123FAC46" w14:textId="77777777" w:rsidR="00B53F6B" w:rsidRDefault="00B53F6B" w:rsidP="00B53F6B">
      <w:pPr>
        <w:spacing w:after="0" w:line="259" w:lineRule="auto"/>
        <w:ind w:left="719" w:firstLine="0"/>
      </w:pPr>
      <w:r>
        <w:t xml:space="preserve"> </w:t>
      </w:r>
    </w:p>
    <w:p w14:paraId="2FC0C14A" w14:textId="77777777" w:rsidR="00B53F6B" w:rsidRDefault="00B53F6B" w:rsidP="00B53F6B">
      <w:pPr>
        <w:spacing w:after="0" w:line="259" w:lineRule="auto"/>
        <w:ind w:left="719" w:firstLine="0"/>
      </w:pPr>
      <w:r>
        <w:t xml:space="preserve"> </w:t>
      </w:r>
    </w:p>
    <w:p w14:paraId="10C3EEC8" w14:textId="77777777" w:rsidR="00B53F6B" w:rsidRDefault="00B53F6B" w:rsidP="00B53F6B">
      <w:pPr>
        <w:spacing w:after="0" w:line="239" w:lineRule="auto"/>
        <w:ind w:left="730" w:hanging="10"/>
      </w:pPr>
      <w:r>
        <w:rPr>
          <w:i/>
          <w:lang w:val="sl"/>
        </w:rPr>
        <w:t xml:space="preserve">(Kljub temu, da je bila pri pripravi teh navodil upoštevana vsaka oskrba, organi PCRT ne opravljajo dolžnosti skrbnosti ali kako drugače za kakršno koli izgubo ali škodo, povzročeno z </w:t>
      </w:r>
      <w:r>
        <w:rPr>
          <w:i/>
          <w:lang w:val="sl"/>
        </w:rPr>
        <w:lastRenderedPageBreak/>
        <w:t>zanašanjem na te smernice.  Praktičnih navodil ni mogoče in se ne sme sprejeti za nadomestitev ustreznega pravnega svetovanja.)</w:t>
      </w:r>
    </w:p>
    <w:p w14:paraId="47AC194A" w14:textId="77777777" w:rsidR="00B53F6B" w:rsidRDefault="00B53F6B" w:rsidP="00B53F6B">
      <w:pPr>
        <w:pStyle w:val="Heading1"/>
        <w:tabs>
          <w:tab w:val="center" w:pos="809"/>
          <w:tab w:val="center" w:pos="2513"/>
        </w:tabs>
        <w:ind w:left="0" w:firstLine="0"/>
      </w:pPr>
      <w:r>
        <w:rPr>
          <w:b w:val="0"/>
          <w:sz w:val="22"/>
          <w:lang w:val="sl"/>
        </w:rPr>
        <w:tab/>
      </w:r>
      <w:r>
        <w:rPr>
          <w:b w:val="0"/>
          <w:lang w:val="sl"/>
        </w:rPr>
        <w:t xml:space="preserve">1 </w:t>
      </w:r>
      <w:r>
        <w:rPr>
          <w:b w:val="0"/>
          <w:lang w:val="sl"/>
        </w:rPr>
        <w:tab/>
      </w:r>
      <w:r>
        <w:rPr>
          <w:lang w:val="sl"/>
        </w:rPr>
        <w:t>Uvod</w:t>
      </w:r>
    </w:p>
    <w:p w14:paraId="30531349" w14:textId="77777777" w:rsidR="00B53F6B" w:rsidRDefault="00B53F6B" w:rsidP="00B53F6B">
      <w:pPr>
        <w:spacing w:after="142" w:line="259" w:lineRule="auto"/>
        <w:ind w:left="720" w:firstLine="0"/>
      </w:pPr>
      <w:r>
        <w:t xml:space="preserve"> </w:t>
      </w:r>
    </w:p>
    <w:p w14:paraId="7E17A478" w14:textId="77777777" w:rsidR="00B53F6B" w:rsidRDefault="00B53F6B" w:rsidP="00B53F6B">
      <w:pPr>
        <w:pStyle w:val="Heading2"/>
        <w:ind w:left="715"/>
      </w:pPr>
      <w:r>
        <w:rPr>
          <w:lang w:val="sl"/>
        </w:rPr>
        <w:t>Obseg</w:t>
      </w:r>
    </w:p>
    <w:p w14:paraId="6C0D7E56" w14:textId="77777777" w:rsidR="00B53F6B" w:rsidRDefault="00B53F6B" w:rsidP="00B53F6B">
      <w:pPr>
        <w:spacing w:after="0" w:line="259" w:lineRule="auto"/>
        <w:ind w:left="710" w:firstLine="0"/>
      </w:pPr>
      <w:r>
        <w:t xml:space="preserve"> </w:t>
      </w:r>
    </w:p>
    <w:p w14:paraId="5CB49510" w14:textId="77777777" w:rsidR="00B53F6B" w:rsidRDefault="00B53F6B" w:rsidP="00B53F6B">
      <w:pPr>
        <w:ind w:left="1435" w:right="15" w:hanging="720"/>
      </w:pPr>
      <w:r>
        <w:rPr>
          <w:lang w:val="sl"/>
        </w:rPr>
        <w:t xml:space="preserve">1,1 </w:t>
      </w:r>
      <w:r>
        <w:rPr>
          <w:lang w:val="sl"/>
        </w:rPr>
        <w:tab/>
        <w:t xml:space="preserve">namen strokovnega ravnanja v zvezi z obdavčevanjem (PCRT) in pripadajočimi listi pomoči je pomagati in svetovati članom o njihovem poklicnem ravnanju v zvezi z obdavčitvijo, zlasti v tristranskem razmerju med članom, stranko in HMRC. PCRT sestavljajo temeljna načela in standardi za davčno načrtovanje.  </w:t>
      </w:r>
    </w:p>
    <w:p w14:paraId="16C76F57" w14:textId="77777777" w:rsidR="00B53F6B" w:rsidRDefault="00B53F6B" w:rsidP="00B53F6B">
      <w:pPr>
        <w:spacing w:after="0" w:line="259" w:lineRule="auto"/>
        <w:ind w:left="720" w:firstLine="0"/>
      </w:pPr>
      <w:r>
        <w:t xml:space="preserve"> </w:t>
      </w:r>
    </w:p>
    <w:p w14:paraId="7C071EFD" w14:textId="77777777" w:rsidR="00B53F6B" w:rsidRDefault="00B53F6B" w:rsidP="00B53F6B">
      <w:pPr>
        <w:ind w:left="1435" w:right="15" w:hanging="720"/>
      </w:pPr>
      <w:r>
        <w:rPr>
          <w:lang w:val="sl"/>
        </w:rPr>
        <w:t xml:space="preserve">1,2 </w:t>
      </w:r>
      <w:r>
        <w:rPr>
          <w:lang w:val="sl"/>
        </w:rPr>
        <w:tab/>
        <w:t xml:space="preserve">člani  so dolžni doseči in nato vedno  spoštovati temeljna načela in standarde za davčno načrtovanje v </w:t>
      </w:r>
      <w:proofErr w:type="spellStart"/>
      <w:r>
        <w:rPr>
          <w:lang w:val="sl"/>
        </w:rPr>
        <w:t>pcrt</w:t>
      </w:r>
      <w:proofErr w:type="spellEnd"/>
      <w:r>
        <w:rPr>
          <w:lang w:val="sl"/>
        </w:rPr>
        <w:t xml:space="preserve">-ju. Če član tega ne stori, so lahko predmet disciplinskega postopka. </w:t>
      </w:r>
    </w:p>
    <w:p w14:paraId="383CCD91" w14:textId="77777777" w:rsidR="00B53F6B" w:rsidRDefault="00B53F6B" w:rsidP="00B53F6B">
      <w:pPr>
        <w:spacing w:after="0" w:line="259" w:lineRule="auto"/>
        <w:ind w:left="720" w:firstLine="0"/>
      </w:pPr>
      <w:r>
        <w:t xml:space="preserve"> </w:t>
      </w:r>
    </w:p>
    <w:p w14:paraId="0FA6FEAF" w14:textId="77777777" w:rsidR="00B53F6B" w:rsidRDefault="00B53F6B" w:rsidP="00B53F6B">
      <w:pPr>
        <w:ind w:left="1435" w:right="15" w:hanging="720"/>
      </w:pPr>
      <w:r>
        <w:rPr>
          <w:lang w:val="sl"/>
        </w:rPr>
        <w:t xml:space="preserve">1,3 </w:t>
      </w:r>
      <w:r>
        <w:rPr>
          <w:lang w:val="sl"/>
        </w:rPr>
        <w:tab/>
        <w:t xml:space="preserve">vprašanja, obravnavana v listih s pomočjo, zagotavljajo smernice za uporabo temeljnih načel in standardov PCRT za davčno načrtovanje pri vsakodnevnem delu, vendar niso namenjeni, niti jih ne bi smeli razlagati kot izčrpen seznam vseh okoliščin, ki jih ima član, ki bi lahko ogrožali spoštovanje temeljnih načel in standardov. Zato morajo člani upoštevati in spoštovati temeljna načela in standarde PCRT v vseh svojih poklicnih dejavnostih. </w:t>
      </w:r>
    </w:p>
    <w:p w14:paraId="14852C3C" w14:textId="77777777" w:rsidR="00B53F6B" w:rsidRDefault="00B53F6B" w:rsidP="00B53F6B">
      <w:pPr>
        <w:spacing w:after="0" w:line="259" w:lineRule="auto"/>
        <w:ind w:left="720" w:firstLine="0"/>
      </w:pPr>
      <w:r>
        <w:t xml:space="preserve"> </w:t>
      </w:r>
    </w:p>
    <w:p w14:paraId="53FEB72A" w14:textId="77777777" w:rsidR="00B53F6B" w:rsidRDefault="00B53F6B" w:rsidP="00B53F6B">
      <w:pPr>
        <w:ind w:left="1435" w:right="15" w:hanging="720"/>
      </w:pPr>
      <w:r>
        <w:rPr>
          <w:lang w:val="sl"/>
        </w:rPr>
        <w:t xml:space="preserve">1,4 </w:t>
      </w:r>
      <w:r>
        <w:rPr>
          <w:lang w:val="sl"/>
        </w:rPr>
        <w:tab/>
        <w:t xml:space="preserve">Če je v dvomih o etičnih ali pravnih vidikih  posameznega primera, mora članica poiskati nasvet svojega strokovnega telesa in, kjer je to primerno, njihovih pravnih svetovalcev.  Strokovni organi ne prevzamejo odgovornosti za nespoštovanje svetovanja, če je to primerno. </w:t>
      </w:r>
    </w:p>
    <w:p w14:paraId="6DC59707" w14:textId="77777777" w:rsidR="00B53F6B" w:rsidRDefault="00B53F6B" w:rsidP="00B53F6B">
      <w:pPr>
        <w:spacing w:after="0" w:line="259" w:lineRule="auto"/>
        <w:ind w:left="720" w:firstLine="0"/>
      </w:pPr>
      <w:r>
        <w:t xml:space="preserve"> </w:t>
      </w:r>
    </w:p>
    <w:p w14:paraId="503FE067" w14:textId="77777777" w:rsidR="00B53F6B" w:rsidRDefault="00B53F6B" w:rsidP="00B53F6B">
      <w:pPr>
        <w:ind w:left="1435" w:right="15" w:hanging="720"/>
      </w:pPr>
      <w:r>
        <w:rPr>
          <w:lang w:val="sl"/>
        </w:rPr>
        <w:t xml:space="preserve">1,5 </w:t>
      </w:r>
      <w:r>
        <w:rPr>
          <w:lang w:val="sl"/>
        </w:rPr>
        <w:tab/>
        <w:t xml:space="preserve">članica mora  ves čas  izpolnjevati svoje obveznosti iz zakonodaje o preprečevanju pranja denarja. Vprašanja o preprečevanju pranja denarja niso podrobno zajeta v PCRT; član se namesto tega sklicuje na zakladniško odobreno </w:t>
      </w:r>
      <w:hyperlink r:id="rId7"/>
      <w:hyperlink r:id="rId8">
        <w:r>
          <w:rPr>
            <w:color w:val="0070C0"/>
            <w:u w:val="single" w:color="0070C0"/>
            <w:lang w:val="sl"/>
          </w:rPr>
          <w:t xml:space="preserve"> </w:t>
        </w:r>
        <w:proofErr w:type="spellStart"/>
        <w:r>
          <w:rPr>
            <w:color w:val="0070C0"/>
            <w:u w:val="single" w:color="0070C0"/>
            <w:lang w:val="sl"/>
          </w:rPr>
          <w:t>Ccab</w:t>
        </w:r>
        <w:proofErr w:type="spellEnd"/>
        <w:r>
          <w:rPr>
            <w:color w:val="0070C0"/>
            <w:u w:val="single" w:color="0070C0"/>
            <w:lang w:val="sl"/>
          </w:rPr>
          <w:t xml:space="preserve"> za boj proti pranju denarja smernice za davčni in računovodski sektor</w:t>
        </w:r>
      </w:hyperlink>
      <w:r>
        <w:rPr>
          <w:lang w:val="sl"/>
        </w:rPr>
        <w:t xml:space="preserve"> </w:t>
      </w:r>
      <w:hyperlink r:id="rId9"/>
      <w:r>
        <w:rPr>
          <w:lang w:val="sl"/>
        </w:rPr>
        <w:t xml:space="preserve"> (ki vključuje  </w:t>
      </w:r>
      <w:hyperlink r:id="rId10">
        <w:r>
          <w:rPr>
            <w:color w:val="0563C1"/>
            <w:u w:val="single" w:color="0563C1"/>
            <w:lang w:val="sl"/>
          </w:rPr>
          <w:t>dodatek za davčnega zdravnika</w:t>
        </w:r>
      </w:hyperlink>
      <w:hyperlink r:id="rId11">
        <w:r>
          <w:rPr>
            <w:lang w:val="sl"/>
          </w:rPr>
          <w:t>)</w:t>
        </w:r>
      </w:hyperlink>
      <w:r>
        <w:rPr>
          <w:lang w:val="sl"/>
        </w:rPr>
        <w:t xml:space="preserve">.  Član, ki dela zunaj davčnega in računovodskega sektorja, bi moral nanašati na ustrezne smernice za njihov sektor ali po potrebi ustrezno svetovati. </w:t>
      </w:r>
    </w:p>
    <w:p w14:paraId="3D90A8CF" w14:textId="77777777" w:rsidR="00B53F6B" w:rsidRDefault="00B53F6B" w:rsidP="00B53F6B">
      <w:pPr>
        <w:spacing w:after="0" w:line="259" w:lineRule="auto"/>
        <w:ind w:left="720" w:firstLine="0"/>
      </w:pPr>
      <w:r>
        <w:t xml:space="preserve"> </w:t>
      </w:r>
    </w:p>
    <w:p w14:paraId="71A8DB6C" w14:textId="77777777" w:rsidR="00B53F6B" w:rsidRDefault="00B53F6B" w:rsidP="00B53F6B">
      <w:pPr>
        <w:ind w:left="1434" w:right="15" w:hanging="719"/>
      </w:pPr>
      <w:r>
        <w:rPr>
          <w:lang w:val="sl"/>
        </w:rPr>
        <w:t xml:space="preserve">1,6 </w:t>
      </w:r>
      <w:r>
        <w:rPr>
          <w:lang w:val="sl"/>
        </w:rPr>
        <w:tab/>
        <w:t xml:space="preserve">nič v PCRT preglasi pravni poklicni privilegij.  Prav tako nič v PCRT ne sme prevladati nad poklicnimi nalogami člana ali razlagati tako, da bi lahko povzročilo kakršno koli navzkrižje po splošnem pravu, zakonski ureditvi ali poklicni ureditvi odvetnikov ali </w:t>
      </w:r>
      <w:proofErr w:type="spellStart"/>
      <w:r>
        <w:rPr>
          <w:lang w:val="sl"/>
        </w:rPr>
        <w:t>barristerjev</w:t>
      </w:r>
      <w:proofErr w:type="spellEnd"/>
      <w:r>
        <w:rPr>
          <w:lang w:val="sl"/>
        </w:rPr>
        <w:t xml:space="preserve">, v primeru kakršnega koli splošnega zakona o konfliktu pa prevlada zakonska ureditev ali taka poklicna ureditev.  Za te namene se šteje, da se konflikt pojavi vsaj, če bi takšno pravo, zakonsko ali takšno poklicno ureditev, na katero se nanašajo člani, preprečilo skladnost s tem, kar bi po drugi zahteval PCRT.  </w:t>
      </w:r>
    </w:p>
    <w:p w14:paraId="75F6B059" w14:textId="77777777" w:rsidR="00B53F6B" w:rsidRDefault="00B53F6B" w:rsidP="00B53F6B">
      <w:pPr>
        <w:spacing w:after="0" w:line="259" w:lineRule="auto"/>
        <w:ind w:left="719" w:firstLine="0"/>
      </w:pPr>
      <w:r>
        <w:t xml:space="preserve"> </w:t>
      </w:r>
    </w:p>
    <w:p w14:paraId="13D838C0" w14:textId="77777777" w:rsidR="00B53F6B" w:rsidRDefault="00B53F6B" w:rsidP="00B53F6B">
      <w:pPr>
        <w:pStyle w:val="Heading3"/>
        <w:ind w:left="715"/>
      </w:pPr>
      <w:r>
        <w:rPr>
          <w:lang w:val="sl"/>
        </w:rPr>
        <w:t>Uporaba za vse člane</w:t>
      </w:r>
    </w:p>
    <w:p w14:paraId="6905DF4F" w14:textId="77777777" w:rsidR="00B53F6B" w:rsidRDefault="00B53F6B" w:rsidP="00B53F6B">
      <w:pPr>
        <w:spacing w:after="0" w:line="259" w:lineRule="auto"/>
        <w:ind w:left="710" w:firstLine="0"/>
      </w:pPr>
      <w:r>
        <w:t xml:space="preserve"> </w:t>
      </w:r>
    </w:p>
    <w:p w14:paraId="2154D76E" w14:textId="77777777" w:rsidR="00B53F6B" w:rsidRDefault="00B53F6B" w:rsidP="00B53F6B">
      <w:pPr>
        <w:ind w:left="1435" w:right="15" w:hanging="720"/>
      </w:pPr>
      <w:r>
        <w:rPr>
          <w:lang w:val="sl"/>
        </w:rPr>
        <w:t xml:space="preserve">1,7 </w:t>
      </w:r>
      <w:r>
        <w:rPr>
          <w:lang w:val="sl"/>
        </w:rPr>
        <w:tab/>
        <w:t>medtem ko se vsebina PCRT uporablja predvsem za člane v strokovni praksi, se temeljna načela in standardi uporabljajo za vse člane, ki opravljajo davke, vključno z:</w:t>
      </w:r>
    </w:p>
    <w:p w14:paraId="4ED968DB" w14:textId="77777777" w:rsidR="00B53F6B" w:rsidRDefault="00B53F6B" w:rsidP="00B53F6B">
      <w:pPr>
        <w:spacing w:after="13" w:line="259" w:lineRule="auto"/>
        <w:ind w:left="720" w:firstLine="0"/>
      </w:pPr>
      <w:r>
        <w:t xml:space="preserve"> </w:t>
      </w:r>
    </w:p>
    <w:p w14:paraId="059887DB" w14:textId="77777777" w:rsidR="00B53F6B" w:rsidRDefault="00B53F6B" w:rsidP="00B53F6B">
      <w:pPr>
        <w:numPr>
          <w:ilvl w:val="0"/>
          <w:numId w:val="2"/>
        </w:numPr>
        <w:ind w:right="15" w:hanging="360"/>
      </w:pPr>
      <w:r>
        <w:rPr>
          <w:lang w:val="sl"/>
        </w:rPr>
        <w:t>Zaposleni, ki se udeležujejo davčnih zadev svojega delodajalca ali stranke; In</w:t>
      </w:r>
    </w:p>
    <w:p w14:paraId="47A09E6C" w14:textId="77777777" w:rsidR="00B53F6B" w:rsidRDefault="00B53F6B" w:rsidP="00B53F6B">
      <w:pPr>
        <w:numPr>
          <w:ilvl w:val="0"/>
          <w:numId w:val="2"/>
        </w:numPr>
        <w:ind w:right="15" w:hanging="360"/>
      </w:pPr>
      <w:r>
        <w:rPr>
          <w:lang w:val="sl"/>
        </w:rPr>
        <w:t xml:space="preserve">Tisti, ki se ukvarjajo z davčnimi zadevami samih ali drugih, kot so družina, prijatelji, dobrodelne organizacije </w:t>
      </w:r>
      <w:proofErr w:type="spellStart"/>
      <w:r>
        <w:rPr>
          <w:lang w:val="sl"/>
        </w:rPr>
        <w:t>itd</w:t>
      </w:r>
      <w:proofErr w:type="spellEnd"/>
      <w:r>
        <w:rPr>
          <w:lang w:val="sl"/>
        </w:rPr>
        <w:t>, ali  za plačilo;</w:t>
      </w:r>
    </w:p>
    <w:p w14:paraId="77EA621C" w14:textId="77777777" w:rsidR="00B53F6B" w:rsidRDefault="00B53F6B" w:rsidP="00B53F6B">
      <w:pPr>
        <w:numPr>
          <w:ilvl w:val="0"/>
          <w:numId w:val="2"/>
        </w:numPr>
        <w:ind w:right="15" w:hanging="360"/>
      </w:pPr>
      <w:r>
        <w:rPr>
          <w:lang w:val="sl"/>
        </w:rPr>
        <w:t>Tisti, ki delajo v HMRC ali drugih organih javnega sektorja ali vladnih departmajih.</w:t>
      </w:r>
    </w:p>
    <w:p w14:paraId="75C2B3F2" w14:textId="77777777" w:rsidR="00B53F6B" w:rsidRDefault="00B53F6B" w:rsidP="00B53F6B">
      <w:pPr>
        <w:spacing w:after="0" w:line="259" w:lineRule="auto"/>
        <w:ind w:left="720" w:firstLine="0"/>
      </w:pPr>
      <w:r>
        <w:t xml:space="preserve"> </w:t>
      </w:r>
    </w:p>
    <w:p w14:paraId="497E3AC8" w14:textId="77777777" w:rsidR="00B53F6B" w:rsidRDefault="00B53F6B" w:rsidP="00B53F6B">
      <w:pPr>
        <w:numPr>
          <w:ilvl w:val="1"/>
          <w:numId w:val="3"/>
        </w:numPr>
        <w:ind w:left="1445" w:right="15" w:hanging="730"/>
      </w:pPr>
      <w:r>
        <w:rPr>
          <w:lang w:val="sl"/>
        </w:rPr>
        <w:t xml:space="preserve">Če delodajalec člana ni pripravljen slediti temeljnim načelom in standardom in/ali etičnemu pristopu, ki je določen v listih pomoči (kljub razumnim poskusom člana, da </w:t>
      </w:r>
      <w:r>
        <w:rPr>
          <w:lang w:val="sl"/>
        </w:rPr>
        <w:lastRenderedPageBreak/>
        <w:t>jih prepriča), se lahko član obrne na svoje strokovno telo in/ali zaprosi za pravno svetovanje.</w:t>
      </w:r>
    </w:p>
    <w:p w14:paraId="0AA1EBD8" w14:textId="77777777" w:rsidR="00B53F6B" w:rsidRDefault="00B53F6B" w:rsidP="00B53F6B">
      <w:pPr>
        <w:spacing w:after="29" w:line="259" w:lineRule="auto"/>
        <w:ind w:left="720" w:firstLine="0"/>
      </w:pPr>
      <w:r>
        <w:t xml:space="preserve"> </w:t>
      </w:r>
    </w:p>
    <w:p w14:paraId="00E16124" w14:textId="77777777" w:rsidR="00B53F6B" w:rsidRDefault="00B53F6B" w:rsidP="00B53F6B">
      <w:pPr>
        <w:numPr>
          <w:ilvl w:val="1"/>
          <w:numId w:val="3"/>
        </w:numPr>
        <w:ind w:left="1445" w:right="15" w:hanging="730"/>
      </w:pPr>
      <w:r>
        <w:rPr>
          <w:lang w:val="sl"/>
        </w:rPr>
        <w:t xml:space="preserve">Temeljna načela in standardi se bodo uporabljali tudi za poslovanje z vsemi decentraliziranih davčnimi organi v Združenem kraljestvu. Za člana, ki ima sedež v tujini ali ki deluje za stranko, za katero velja davčna jurisdikcija druge države, bi lahko veljala drugačna pravna obveznost v skladu z davčnim pravom in/ali splošnim pravom te države. Ob upoštevanju tega opozorila mora član uporabljati temeljna načela in standarde za poklicne dejavnosti z vidiki, ki niso v Združenem kraljestvu  .  </w:t>
      </w:r>
    </w:p>
    <w:p w14:paraId="615840DF" w14:textId="77777777" w:rsidR="00B53F6B" w:rsidRDefault="00B53F6B" w:rsidP="00B53F6B">
      <w:pPr>
        <w:spacing w:after="0" w:line="259" w:lineRule="auto"/>
        <w:ind w:left="720" w:firstLine="0"/>
      </w:pPr>
      <w:r>
        <w:t xml:space="preserve"> </w:t>
      </w:r>
    </w:p>
    <w:p w14:paraId="11BD9DF5" w14:textId="77777777" w:rsidR="00B53F6B" w:rsidRDefault="00B53F6B" w:rsidP="00B53F6B">
      <w:pPr>
        <w:numPr>
          <w:ilvl w:val="1"/>
          <w:numId w:val="3"/>
        </w:numPr>
        <w:ind w:left="1445" w:right="15" w:hanging="730"/>
      </w:pPr>
      <w:r>
        <w:rPr>
          <w:lang w:val="sl"/>
        </w:rPr>
        <w:t>HMRC priznava, da je PCRT sprejemljiva podlaga za poslovanje med člani in HMRC.</w:t>
      </w:r>
    </w:p>
    <w:p w14:paraId="32617102" w14:textId="77777777" w:rsidR="00B53F6B" w:rsidRDefault="00B53F6B" w:rsidP="00B53F6B">
      <w:pPr>
        <w:spacing w:after="11" w:line="259" w:lineRule="auto"/>
        <w:ind w:left="710" w:firstLine="0"/>
      </w:pPr>
      <w:r>
        <w:t xml:space="preserve"> </w:t>
      </w:r>
    </w:p>
    <w:p w14:paraId="5F392B9F" w14:textId="77777777" w:rsidR="00B53F6B" w:rsidRDefault="00B53F6B" w:rsidP="00B53F6B">
      <w:pPr>
        <w:spacing w:after="9" w:line="259" w:lineRule="auto"/>
        <w:ind w:left="710" w:firstLine="0"/>
      </w:pPr>
      <w:r>
        <w:t xml:space="preserve"> </w:t>
      </w:r>
    </w:p>
    <w:p w14:paraId="2F4B610F" w14:textId="77777777" w:rsidR="00B53F6B" w:rsidRDefault="00B53F6B" w:rsidP="00B53F6B">
      <w:pPr>
        <w:spacing w:after="0" w:line="259" w:lineRule="auto"/>
        <w:ind w:left="710" w:firstLine="0"/>
      </w:pPr>
      <w:r>
        <w:t xml:space="preserve"> </w:t>
      </w:r>
    </w:p>
    <w:p w14:paraId="79D73E4F" w14:textId="77777777" w:rsidR="00B53F6B" w:rsidRDefault="00B53F6B" w:rsidP="00B53F6B">
      <w:pPr>
        <w:pStyle w:val="Heading2"/>
        <w:ind w:left="715"/>
      </w:pPr>
      <w:r>
        <w:rPr>
          <w:lang w:val="sl"/>
        </w:rPr>
        <w:t>Stanje</w:t>
      </w:r>
    </w:p>
    <w:p w14:paraId="517E4FF0" w14:textId="77777777" w:rsidR="00B53F6B" w:rsidRDefault="00B53F6B" w:rsidP="00B53F6B">
      <w:pPr>
        <w:spacing w:after="0" w:line="259" w:lineRule="auto"/>
        <w:ind w:left="710" w:firstLine="0"/>
      </w:pPr>
      <w:r>
        <w:t xml:space="preserve"> </w:t>
      </w:r>
    </w:p>
    <w:p w14:paraId="75CD921C" w14:textId="77777777" w:rsidR="00B53F6B" w:rsidRDefault="00B53F6B" w:rsidP="00B53F6B">
      <w:pPr>
        <w:tabs>
          <w:tab w:val="center" w:pos="905"/>
          <w:tab w:val="center" w:pos="3392"/>
        </w:tabs>
        <w:ind w:left="0" w:firstLine="0"/>
      </w:pPr>
      <w:r>
        <w:rPr>
          <w:sz w:val="22"/>
          <w:lang w:val="sl"/>
        </w:rPr>
        <w:tab/>
      </w:r>
      <w:r>
        <w:rPr>
          <w:lang w:val="sl"/>
        </w:rPr>
        <w:t xml:space="preserve">1,11 </w:t>
      </w:r>
      <w:r>
        <w:rPr>
          <w:lang w:val="sl"/>
        </w:rPr>
        <w:tab/>
        <w:t>PCRT je pripravil skupaj:</w:t>
      </w:r>
    </w:p>
    <w:p w14:paraId="6A6B39E6" w14:textId="77777777" w:rsidR="00B53F6B" w:rsidRDefault="00B53F6B" w:rsidP="00B53F6B">
      <w:pPr>
        <w:spacing w:after="13" w:line="259" w:lineRule="auto"/>
        <w:ind w:left="710" w:firstLine="0"/>
      </w:pPr>
      <w:r>
        <w:t xml:space="preserve"> </w:t>
      </w:r>
    </w:p>
    <w:p w14:paraId="2E9924F7" w14:textId="77777777" w:rsidR="00B53F6B" w:rsidRDefault="00B53F6B" w:rsidP="00B53F6B">
      <w:pPr>
        <w:numPr>
          <w:ilvl w:val="0"/>
          <w:numId w:val="4"/>
        </w:numPr>
        <w:ind w:right="15" w:hanging="360"/>
      </w:pPr>
      <w:r>
        <w:rPr>
          <w:lang w:val="sl"/>
        </w:rPr>
        <w:t>Združenje računovodskih tehnikov</w:t>
      </w:r>
    </w:p>
    <w:p w14:paraId="442BED99" w14:textId="77777777" w:rsidR="00B53F6B" w:rsidRDefault="00B53F6B" w:rsidP="00B53F6B">
      <w:pPr>
        <w:numPr>
          <w:ilvl w:val="0"/>
          <w:numId w:val="4"/>
        </w:numPr>
        <w:ind w:right="15" w:hanging="360"/>
      </w:pPr>
      <w:r>
        <w:rPr>
          <w:lang w:val="sl"/>
        </w:rPr>
        <w:t>Združenje pooblaščenih računovodij</w:t>
      </w:r>
    </w:p>
    <w:p w14:paraId="6446E690" w14:textId="77777777" w:rsidR="00B53F6B" w:rsidRDefault="00B53F6B" w:rsidP="00B53F6B">
      <w:pPr>
        <w:numPr>
          <w:ilvl w:val="0"/>
          <w:numId w:val="4"/>
        </w:numPr>
        <w:ind w:right="15" w:hanging="360"/>
      </w:pPr>
      <w:r>
        <w:rPr>
          <w:lang w:val="sl"/>
        </w:rPr>
        <w:t>Združenje davčnih tehnikov</w:t>
      </w:r>
    </w:p>
    <w:p w14:paraId="0F08164E" w14:textId="77777777" w:rsidR="00B53F6B" w:rsidRDefault="00B53F6B" w:rsidP="00B53F6B">
      <w:pPr>
        <w:numPr>
          <w:ilvl w:val="0"/>
          <w:numId w:val="4"/>
        </w:numPr>
        <w:ind w:right="15" w:hanging="360"/>
      </w:pPr>
      <w:r>
        <w:rPr>
          <w:lang w:val="sl"/>
        </w:rPr>
        <w:t xml:space="preserve">Inštitut za obdavčenje </w:t>
      </w:r>
      <w:proofErr w:type="spellStart"/>
      <w:r>
        <w:rPr>
          <w:lang w:val="sl"/>
        </w:rPr>
        <w:t>Chartered</w:t>
      </w:r>
      <w:proofErr w:type="spellEnd"/>
    </w:p>
    <w:p w14:paraId="444C68B5" w14:textId="77777777" w:rsidR="00B53F6B" w:rsidRDefault="00B53F6B" w:rsidP="00B53F6B">
      <w:pPr>
        <w:numPr>
          <w:ilvl w:val="0"/>
          <w:numId w:val="4"/>
        </w:numPr>
        <w:ind w:right="15" w:hanging="360"/>
      </w:pPr>
      <w:r>
        <w:rPr>
          <w:lang w:val="sl"/>
        </w:rPr>
        <w:t xml:space="preserve">Inštitut za </w:t>
      </w:r>
      <w:proofErr w:type="spellStart"/>
      <w:r>
        <w:rPr>
          <w:lang w:val="sl"/>
        </w:rPr>
        <w:t>Chartered</w:t>
      </w:r>
      <w:proofErr w:type="spellEnd"/>
      <w:r>
        <w:rPr>
          <w:lang w:val="sl"/>
        </w:rPr>
        <w:t xml:space="preserve"> </w:t>
      </w:r>
      <w:proofErr w:type="spellStart"/>
      <w:r>
        <w:rPr>
          <w:lang w:val="sl"/>
        </w:rPr>
        <w:t>Accountants</w:t>
      </w:r>
      <w:proofErr w:type="spellEnd"/>
      <w:r>
        <w:rPr>
          <w:lang w:val="sl"/>
        </w:rPr>
        <w:t xml:space="preserve"> v Angliji in Walesu</w:t>
      </w:r>
    </w:p>
    <w:p w14:paraId="4259AE56" w14:textId="77777777" w:rsidR="00B53F6B" w:rsidRDefault="00B53F6B" w:rsidP="00B53F6B">
      <w:pPr>
        <w:numPr>
          <w:ilvl w:val="0"/>
          <w:numId w:val="4"/>
        </w:numPr>
        <w:ind w:right="15" w:hanging="360"/>
      </w:pPr>
      <w:r>
        <w:rPr>
          <w:lang w:val="sl"/>
        </w:rPr>
        <w:t xml:space="preserve">Inštitut za </w:t>
      </w:r>
      <w:proofErr w:type="spellStart"/>
      <w:r>
        <w:rPr>
          <w:lang w:val="sl"/>
        </w:rPr>
        <w:t>Chartered</w:t>
      </w:r>
      <w:proofErr w:type="spellEnd"/>
      <w:r>
        <w:rPr>
          <w:lang w:val="sl"/>
        </w:rPr>
        <w:t xml:space="preserve"> </w:t>
      </w:r>
      <w:proofErr w:type="spellStart"/>
      <w:r>
        <w:rPr>
          <w:lang w:val="sl"/>
        </w:rPr>
        <w:t>Accountants</w:t>
      </w:r>
      <w:proofErr w:type="spellEnd"/>
      <w:r>
        <w:rPr>
          <w:lang w:val="sl"/>
        </w:rPr>
        <w:t xml:space="preserve"> Škotske</w:t>
      </w:r>
    </w:p>
    <w:p w14:paraId="0581F722" w14:textId="77777777" w:rsidR="00B53F6B" w:rsidRDefault="00B53F6B" w:rsidP="00B53F6B">
      <w:pPr>
        <w:numPr>
          <w:ilvl w:val="0"/>
          <w:numId w:val="4"/>
        </w:numPr>
        <w:ind w:right="15" w:hanging="360"/>
      </w:pPr>
      <w:r>
        <w:rPr>
          <w:lang w:val="sl"/>
        </w:rPr>
        <w:t xml:space="preserve">Društvo </w:t>
      </w:r>
      <w:proofErr w:type="spellStart"/>
      <w:r>
        <w:rPr>
          <w:lang w:val="sl"/>
        </w:rPr>
        <w:t>trusta</w:t>
      </w:r>
      <w:proofErr w:type="spellEnd"/>
      <w:r>
        <w:rPr>
          <w:lang w:val="sl"/>
        </w:rPr>
        <w:t xml:space="preserve"> in </w:t>
      </w:r>
      <w:proofErr w:type="spellStart"/>
      <w:r>
        <w:rPr>
          <w:lang w:val="sl"/>
        </w:rPr>
        <w:t>Estate</w:t>
      </w:r>
      <w:proofErr w:type="spellEnd"/>
      <w:r>
        <w:rPr>
          <w:lang w:val="sl"/>
        </w:rPr>
        <w:t xml:space="preserve"> praktiki</w:t>
      </w:r>
    </w:p>
    <w:p w14:paraId="65F27751" w14:textId="77777777" w:rsidR="00B53F6B" w:rsidRDefault="00B53F6B" w:rsidP="00B53F6B">
      <w:pPr>
        <w:spacing w:after="0" w:line="259" w:lineRule="auto"/>
        <w:ind w:left="719" w:firstLine="0"/>
      </w:pPr>
      <w:r>
        <w:t xml:space="preserve"> </w:t>
      </w:r>
    </w:p>
    <w:p w14:paraId="21D83F76" w14:textId="77777777" w:rsidR="00B53F6B" w:rsidRDefault="00B53F6B" w:rsidP="00B53F6B">
      <w:pPr>
        <w:spacing w:after="134"/>
        <w:ind w:left="1435" w:right="1326" w:hanging="720"/>
      </w:pPr>
      <w:r>
        <w:rPr>
          <w:lang w:val="sl"/>
        </w:rPr>
        <w:t xml:space="preserve">1,12 </w:t>
      </w:r>
      <w:r>
        <w:rPr>
          <w:lang w:val="sl"/>
        </w:rPr>
        <w:tab/>
        <w:t xml:space="preserve">medtem ko je bila vsaka oskrba sprejeta pri pripravi </w:t>
      </w:r>
      <w:proofErr w:type="spellStart"/>
      <w:r>
        <w:rPr>
          <w:lang w:val="sl"/>
        </w:rPr>
        <w:t>pcrt</w:t>
      </w:r>
      <w:proofErr w:type="spellEnd"/>
      <w:r>
        <w:rPr>
          <w:lang w:val="sl"/>
        </w:rPr>
        <w:t>, v največjem možnem obsegu, ki ga dovoljuje zakonodaja, avtorski organi ne sprejemajo ali prevzemajo odgovornosti za katero koli osebo ali osebe, ki utrpijo izgubo ali škodo, povzročeno z zanašanjem na PCRT.</w:t>
      </w:r>
    </w:p>
    <w:p w14:paraId="00074DF7" w14:textId="77777777" w:rsidR="00B53F6B" w:rsidRDefault="00B53F6B" w:rsidP="00B53F6B">
      <w:pPr>
        <w:spacing w:after="19" w:line="259" w:lineRule="auto"/>
        <w:ind w:left="719" w:firstLine="0"/>
      </w:pPr>
      <w:r>
        <w:t xml:space="preserve"> </w:t>
      </w:r>
    </w:p>
    <w:p w14:paraId="3346A3C5" w14:textId="77777777" w:rsidR="00B53F6B" w:rsidRDefault="00B53F6B" w:rsidP="00B53F6B">
      <w:pPr>
        <w:pStyle w:val="Heading2"/>
        <w:ind w:left="715"/>
      </w:pPr>
      <w:r>
        <w:rPr>
          <w:lang w:val="sl"/>
        </w:rPr>
        <w:t>Razlago</w:t>
      </w:r>
    </w:p>
    <w:p w14:paraId="38058865" w14:textId="77777777" w:rsidR="00B53F6B" w:rsidRDefault="00B53F6B" w:rsidP="00B53F6B">
      <w:pPr>
        <w:spacing w:after="0" w:line="259" w:lineRule="auto"/>
        <w:ind w:left="720" w:firstLine="0"/>
      </w:pPr>
      <w:r>
        <w:t xml:space="preserve"> </w:t>
      </w:r>
    </w:p>
    <w:p w14:paraId="474E6B46" w14:textId="77777777" w:rsidR="00B53F6B" w:rsidRDefault="00B53F6B" w:rsidP="00B53F6B">
      <w:pPr>
        <w:tabs>
          <w:tab w:val="center" w:pos="899"/>
          <w:tab w:val="center" w:pos="1852"/>
        </w:tabs>
        <w:spacing w:after="169"/>
        <w:ind w:left="0" w:firstLine="0"/>
      </w:pPr>
      <w:r>
        <w:rPr>
          <w:sz w:val="22"/>
          <w:lang w:val="sl"/>
        </w:rPr>
        <w:tab/>
      </w:r>
      <w:r>
        <w:rPr>
          <w:lang w:val="sl"/>
        </w:rPr>
        <w:t xml:space="preserve">1,13 </w:t>
      </w:r>
      <w:r>
        <w:rPr>
          <w:lang w:val="sl"/>
        </w:rPr>
        <w:tab/>
        <w:t>v PCRT-ju:</w:t>
      </w:r>
    </w:p>
    <w:p w14:paraId="26763B71" w14:textId="77777777" w:rsidR="00B53F6B" w:rsidRDefault="00B53F6B" w:rsidP="00B53F6B">
      <w:pPr>
        <w:numPr>
          <w:ilvl w:val="0"/>
          <w:numId w:val="5"/>
        </w:numPr>
        <w:ind w:right="15" w:hanging="360"/>
      </w:pPr>
      <w:r>
        <w:rPr>
          <w:lang w:val="sl"/>
        </w:rPr>
        <w:t>"Odjemalec" vključuje, če kontekst zahteva, "nekdanji odjemalec".</w:t>
      </w:r>
    </w:p>
    <w:p w14:paraId="20D31DD1" w14:textId="77777777" w:rsidR="00B53F6B" w:rsidRDefault="00B53F6B" w:rsidP="00B53F6B">
      <w:pPr>
        <w:numPr>
          <w:ilvl w:val="0"/>
          <w:numId w:val="5"/>
        </w:numPr>
        <w:ind w:right="15" w:hanging="360"/>
      </w:pPr>
      <w:r>
        <w:rPr>
          <w:lang w:val="sl"/>
        </w:rPr>
        <w:t>"Član" (in "člani") vključuje "podjetje" ali "prakso" in njegovo osebje.</w:t>
      </w:r>
    </w:p>
    <w:p w14:paraId="5E2BA481" w14:textId="77777777" w:rsidR="00B53F6B" w:rsidRDefault="00B53F6B" w:rsidP="00B53F6B">
      <w:pPr>
        <w:numPr>
          <w:ilvl w:val="0"/>
          <w:numId w:val="5"/>
        </w:numPr>
        <w:ind w:right="15" w:hanging="360"/>
      </w:pPr>
      <w:r>
        <w:rPr>
          <w:lang w:val="sl"/>
        </w:rPr>
        <w:t>Besede v ednini vključujejo množino in besede v množini vključujejo ednine.</w:t>
      </w:r>
    </w:p>
    <w:p w14:paraId="4B52D0F0" w14:textId="77777777" w:rsidR="00B53F6B" w:rsidRDefault="00B53F6B" w:rsidP="00B53F6B">
      <w:pPr>
        <w:spacing w:after="18" w:line="259" w:lineRule="auto"/>
        <w:ind w:left="719" w:firstLine="0"/>
      </w:pPr>
      <w:r>
        <w:t xml:space="preserve"> </w:t>
      </w:r>
    </w:p>
    <w:p w14:paraId="43266C7E" w14:textId="77777777" w:rsidR="00B53F6B" w:rsidRDefault="00B53F6B" w:rsidP="00B53F6B">
      <w:pPr>
        <w:pStyle w:val="Heading2"/>
        <w:ind w:left="715"/>
      </w:pPr>
      <w:r>
        <w:rPr>
          <w:lang w:val="sl"/>
        </w:rPr>
        <w:t>Okrajšave</w:t>
      </w:r>
    </w:p>
    <w:p w14:paraId="341CE76E" w14:textId="77777777" w:rsidR="00B53F6B" w:rsidRDefault="00B53F6B" w:rsidP="00B53F6B">
      <w:pPr>
        <w:spacing w:after="29" w:line="259" w:lineRule="auto"/>
        <w:ind w:left="720" w:firstLine="0"/>
      </w:pPr>
      <w:r>
        <w:t xml:space="preserve"> </w:t>
      </w:r>
    </w:p>
    <w:p w14:paraId="53E72FA4" w14:textId="77777777" w:rsidR="00B53F6B" w:rsidRDefault="00B53F6B" w:rsidP="00B53F6B">
      <w:pPr>
        <w:tabs>
          <w:tab w:val="center" w:pos="899"/>
          <w:tab w:val="center" w:pos="3798"/>
        </w:tabs>
        <w:ind w:left="0" w:firstLine="0"/>
      </w:pPr>
      <w:r>
        <w:rPr>
          <w:sz w:val="22"/>
          <w:lang w:val="sl"/>
        </w:rPr>
        <w:tab/>
      </w:r>
      <w:r>
        <w:rPr>
          <w:lang w:val="sl"/>
        </w:rPr>
        <w:t xml:space="preserve">1,14 </w:t>
      </w:r>
      <w:r>
        <w:rPr>
          <w:lang w:val="sl"/>
        </w:rPr>
        <w:tab/>
        <w:t>v PCRT so bile uporabljene naslednje okrajšave:</w:t>
      </w:r>
    </w:p>
    <w:tbl>
      <w:tblPr>
        <w:tblStyle w:val="TableGrid"/>
        <w:tblW w:w="9417" w:type="dxa"/>
        <w:tblInd w:w="720" w:type="dxa"/>
        <w:tblLook w:val="04A0" w:firstRow="1" w:lastRow="0" w:firstColumn="1" w:lastColumn="0" w:noHBand="0" w:noVBand="1"/>
      </w:tblPr>
      <w:tblGrid>
        <w:gridCol w:w="2160"/>
        <w:gridCol w:w="7257"/>
      </w:tblGrid>
      <w:tr w:rsidR="00B53F6B" w14:paraId="3604E92C" w14:textId="77777777" w:rsidTr="00FC6A2B">
        <w:trPr>
          <w:trHeight w:val="209"/>
        </w:trPr>
        <w:tc>
          <w:tcPr>
            <w:tcW w:w="2160" w:type="dxa"/>
            <w:tcBorders>
              <w:top w:val="nil"/>
              <w:left w:val="nil"/>
              <w:bottom w:val="nil"/>
              <w:right w:val="nil"/>
            </w:tcBorders>
          </w:tcPr>
          <w:p w14:paraId="671B87C2" w14:textId="77777777" w:rsidR="00B53F6B" w:rsidRDefault="00B53F6B" w:rsidP="00FC6A2B">
            <w:pPr>
              <w:tabs>
                <w:tab w:val="center" w:pos="999"/>
              </w:tabs>
              <w:spacing w:after="0" w:line="259" w:lineRule="auto"/>
              <w:ind w:left="0" w:firstLine="0"/>
            </w:pPr>
            <w:r>
              <w:rPr>
                <w:lang w:val="sl"/>
              </w:rPr>
              <w:tab/>
              <w:t>CCAB</w:t>
            </w:r>
          </w:p>
        </w:tc>
        <w:tc>
          <w:tcPr>
            <w:tcW w:w="7257" w:type="dxa"/>
            <w:tcBorders>
              <w:top w:val="nil"/>
              <w:left w:val="nil"/>
              <w:bottom w:val="nil"/>
              <w:right w:val="nil"/>
            </w:tcBorders>
          </w:tcPr>
          <w:p w14:paraId="26340DDF" w14:textId="77777777" w:rsidR="00B53F6B" w:rsidRDefault="00B53F6B" w:rsidP="00FC6A2B">
            <w:pPr>
              <w:spacing w:after="0" w:line="259" w:lineRule="auto"/>
              <w:ind w:left="0" w:firstLine="0"/>
            </w:pPr>
            <w:r>
              <w:rPr>
                <w:lang w:val="sl"/>
              </w:rPr>
              <w:t>Posvetovalni odbor računovodskih organov</w:t>
            </w:r>
          </w:p>
        </w:tc>
      </w:tr>
      <w:tr w:rsidR="00B53F6B" w14:paraId="2F0008F9" w14:textId="77777777" w:rsidTr="00FC6A2B">
        <w:trPr>
          <w:trHeight w:val="230"/>
        </w:trPr>
        <w:tc>
          <w:tcPr>
            <w:tcW w:w="2160" w:type="dxa"/>
            <w:tcBorders>
              <w:top w:val="nil"/>
              <w:left w:val="nil"/>
              <w:bottom w:val="nil"/>
              <w:right w:val="nil"/>
            </w:tcBorders>
          </w:tcPr>
          <w:p w14:paraId="7572098F" w14:textId="77777777" w:rsidR="00B53F6B" w:rsidRDefault="00B53F6B" w:rsidP="00FC6A2B">
            <w:pPr>
              <w:tabs>
                <w:tab w:val="center" w:pos="1065"/>
              </w:tabs>
              <w:spacing w:after="0" w:line="259" w:lineRule="auto"/>
              <w:ind w:left="0" w:firstLine="0"/>
            </w:pPr>
            <w:r>
              <w:rPr>
                <w:lang w:val="sl"/>
              </w:rPr>
              <w:tab/>
              <w:t>Glede</w:t>
            </w:r>
          </w:p>
        </w:tc>
        <w:tc>
          <w:tcPr>
            <w:tcW w:w="7257" w:type="dxa"/>
            <w:tcBorders>
              <w:top w:val="nil"/>
              <w:left w:val="nil"/>
              <w:bottom w:val="nil"/>
              <w:right w:val="nil"/>
            </w:tcBorders>
          </w:tcPr>
          <w:p w14:paraId="32E5A537" w14:textId="77777777" w:rsidR="00B53F6B" w:rsidRDefault="00B53F6B" w:rsidP="00FC6A2B">
            <w:pPr>
              <w:spacing w:after="0" w:line="259" w:lineRule="auto"/>
              <w:ind w:left="0" w:firstLine="0"/>
            </w:pPr>
            <w:r>
              <w:rPr>
                <w:lang w:val="sl"/>
              </w:rPr>
              <w:t>Razkritje shem izogibanja davkom</w:t>
            </w:r>
          </w:p>
        </w:tc>
      </w:tr>
      <w:tr w:rsidR="00B53F6B" w14:paraId="6BC0181B" w14:textId="77777777" w:rsidTr="00FC6A2B">
        <w:trPr>
          <w:trHeight w:val="230"/>
        </w:trPr>
        <w:tc>
          <w:tcPr>
            <w:tcW w:w="2160" w:type="dxa"/>
            <w:tcBorders>
              <w:top w:val="nil"/>
              <w:left w:val="nil"/>
              <w:bottom w:val="nil"/>
              <w:right w:val="nil"/>
            </w:tcBorders>
          </w:tcPr>
          <w:p w14:paraId="2F64F1B4" w14:textId="77777777" w:rsidR="00B53F6B" w:rsidRDefault="00B53F6B" w:rsidP="00FC6A2B">
            <w:pPr>
              <w:tabs>
                <w:tab w:val="center" w:pos="1004"/>
              </w:tabs>
              <w:spacing w:after="0" w:line="259" w:lineRule="auto"/>
              <w:ind w:left="0" w:firstLine="0"/>
            </w:pPr>
            <w:r>
              <w:rPr>
                <w:lang w:val="sl"/>
              </w:rPr>
              <w:tab/>
              <w:t>Kuhana</w:t>
            </w:r>
          </w:p>
        </w:tc>
        <w:tc>
          <w:tcPr>
            <w:tcW w:w="7257" w:type="dxa"/>
            <w:tcBorders>
              <w:top w:val="nil"/>
              <w:left w:val="nil"/>
              <w:bottom w:val="nil"/>
              <w:right w:val="nil"/>
            </w:tcBorders>
          </w:tcPr>
          <w:p w14:paraId="4E99578A" w14:textId="77777777" w:rsidR="00B53F6B" w:rsidRDefault="00B53F6B" w:rsidP="00FC6A2B">
            <w:pPr>
              <w:spacing w:after="0" w:line="259" w:lineRule="auto"/>
              <w:ind w:left="0" w:firstLine="0"/>
            </w:pPr>
            <w:r>
              <w:rPr>
                <w:lang w:val="sl"/>
              </w:rPr>
              <w:t>Splošna pravila o preprečevanju zlorab v finančnem aktu 2013</w:t>
            </w:r>
          </w:p>
        </w:tc>
      </w:tr>
      <w:tr w:rsidR="00B53F6B" w14:paraId="2D44E4EF" w14:textId="77777777" w:rsidTr="00FC6A2B">
        <w:trPr>
          <w:trHeight w:val="230"/>
        </w:trPr>
        <w:tc>
          <w:tcPr>
            <w:tcW w:w="2160" w:type="dxa"/>
            <w:tcBorders>
              <w:top w:val="nil"/>
              <w:left w:val="nil"/>
              <w:bottom w:val="nil"/>
              <w:right w:val="nil"/>
            </w:tcBorders>
          </w:tcPr>
          <w:p w14:paraId="4369AEE2" w14:textId="77777777" w:rsidR="00B53F6B" w:rsidRDefault="00B53F6B" w:rsidP="00FC6A2B">
            <w:pPr>
              <w:tabs>
                <w:tab w:val="center" w:pos="1020"/>
              </w:tabs>
              <w:spacing w:after="0" w:line="259" w:lineRule="auto"/>
              <w:ind w:left="0" w:firstLine="0"/>
            </w:pPr>
            <w:r>
              <w:rPr>
                <w:lang w:val="sl"/>
              </w:rPr>
              <w:tab/>
              <w:t>HMRC</w:t>
            </w:r>
          </w:p>
        </w:tc>
        <w:tc>
          <w:tcPr>
            <w:tcW w:w="7257" w:type="dxa"/>
            <w:tcBorders>
              <w:top w:val="nil"/>
              <w:left w:val="nil"/>
              <w:bottom w:val="nil"/>
              <w:right w:val="nil"/>
            </w:tcBorders>
          </w:tcPr>
          <w:p w14:paraId="4866DD4E" w14:textId="77777777" w:rsidR="00B53F6B" w:rsidRDefault="00B53F6B" w:rsidP="00FC6A2B">
            <w:pPr>
              <w:spacing w:after="0" w:line="259" w:lineRule="auto"/>
              <w:ind w:left="0" w:firstLine="0"/>
            </w:pPr>
            <w:r>
              <w:rPr>
                <w:lang w:val="sl"/>
              </w:rPr>
              <w:t>HM prihodki in carina</w:t>
            </w:r>
          </w:p>
        </w:tc>
      </w:tr>
      <w:tr w:rsidR="00B53F6B" w14:paraId="353DC389" w14:textId="77777777" w:rsidTr="00FC6A2B">
        <w:trPr>
          <w:trHeight w:val="230"/>
        </w:trPr>
        <w:tc>
          <w:tcPr>
            <w:tcW w:w="2160" w:type="dxa"/>
            <w:tcBorders>
              <w:top w:val="nil"/>
              <w:left w:val="nil"/>
              <w:bottom w:val="nil"/>
              <w:right w:val="nil"/>
            </w:tcBorders>
          </w:tcPr>
          <w:p w14:paraId="470F785F" w14:textId="77777777" w:rsidR="00B53F6B" w:rsidRDefault="00B53F6B" w:rsidP="00FC6A2B">
            <w:pPr>
              <w:tabs>
                <w:tab w:val="center" w:pos="1010"/>
              </w:tabs>
              <w:spacing w:after="0" w:line="259" w:lineRule="auto"/>
              <w:ind w:left="0" w:firstLine="0"/>
            </w:pPr>
            <w:r>
              <w:rPr>
                <w:lang w:val="sl"/>
              </w:rPr>
              <w:tab/>
              <w:t>V katerem</w:t>
            </w:r>
          </w:p>
        </w:tc>
        <w:tc>
          <w:tcPr>
            <w:tcW w:w="7257" w:type="dxa"/>
            <w:tcBorders>
              <w:top w:val="nil"/>
              <w:left w:val="nil"/>
              <w:bottom w:val="nil"/>
              <w:right w:val="nil"/>
            </w:tcBorders>
          </w:tcPr>
          <w:p w14:paraId="37899C4B" w14:textId="77777777" w:rsidR="00B53F6B" w:rsidRDefault="00B53F6B" w:rsidP="00FC6A2B">
            <w:pPr>
              <w:spacing w:after="0" w:line="259" w:lineRule="auto"/>
              <w:ind w:left="0" w:firstLine="0"/>
            </w:pPr>
            <w:r>
              <w:rPr>
                <w:lang w:val="sl"/>
              </w:rPr>
              <w:t>Uradnik za poročanje o pranju denarja</w:t>
            </w:r>
          </w:p>
        </w:tc>
      </w:tr>
      <w:tr w:rsidR="00B53F6B" w14:paraId="07B71C40" w14:textId="77777777" w:rsidTr="00FC6A2B">
        <w:trPr>
          <w:trHeight w:val="230"/>
        </w:trPr>
        <w:tc>
          <w:tcPr>
            <w:tcW w:w="2160" w:type="dxa"/>
            <w:tcBorders>
              <w:top w:val="nil"/>
              <w:left w:val="nil"/>
              <w:bottom w:val="nil"/>
              <w:right w:val="nil"/>
            </w:tcBorders>
          </w:tcPr>
          <w:p w14:paraId="1D8333E4" w14:textId="77777777" w:rsidR="00B53F6B" w:rsidRDefault="00B53F6B" w:rsidP="00FC6A2B">
            <w:pPr>
              <w:tabs>
                <w:tab w:val="center" w:pos="932"/>
                <w:tab w:val="center" w:pos="1440"/>
              </w:tabs>
              <w:spacing w:after="0" w:line="259" w:lineRule="auto"/>
              <w:ind w:left="0" w:firstLine="0"/>
            </w:pPr>
            <w:r>
              <w:rPr>
                <w:lang w:val="sl"/>
              </w:rPr>
              <w:tab/>
              <w:t>PRISTOJNI nacionalni organ</w:t>
            </w:r>
            <w:r>
              <w:rPr>
                <w:lang w:val="sl"/>
              </w:rPr>
              <w:tab/>
            </w:r>
          </w:p>
        </w:tc>
        <w:tc>
          <w:tcPr>
            <w:tcW w:w="7257" w:type="dxa"/>
            <w:tcBorders>
              <w:top w:val="nil"/>
              <w:left w:val="nil"/>
              <w:bottom w:val="nil"/>
              <w:right w:val="nil"/>
            </w:tcBorders>
          </w:tcPr>
          <w:p w14:paraId="4D6A727E" w14:textId="77777777" w:rsidR="00B53F6B" w:rsidRDefault="00B53F6B" w:rsidP="00FC6A2B">
            <w:pPr>
              <w:spacing w:after="0" w:line="259" w:lineRule="auto"/>
              <w:ind w:left="1" w:firstLine="0"/>
              <w:jc w:val="both"/>
            </w:pPr>
            <w:r>
              <w:rPr>
                <w:lang w:val="sl"/>
              </w:rPr>
              <w:t>Nacionalna agencija za kriminal (prej resna agencija za organizirani kriminal "SOCA")</w:t>
            </w:r>
          </w:p>
        </w:tc>
      </w:tr>
      <w:tr w:rsidR="00B53F6B" w14:paraId="52477652" w14:textId="77777777" w:rsidTr="00FC6A2B">
        <w:trPr>
          <w:trHeight w:val="230"/>
        </w:trPr>
        <w:tc>
          <w:tcPr>
            <w:tcW w:w="2160" w:type="dxa"/>
            <w:tcBorders>
              <w:top w:val="nil"/>
              <w:left w:val="nil"/>
              <w:bottom w:val="nil"/>
              <w:right w:val="nil"/>
            </w:tcBorders>
          </w:tcPr>
          <w:p w14:paraId="16C379E0" w14:textId="77777777" w:rsidR="00B53F6B" w:rsidRDefault="00B53F6B" w:rsidP="00FC6A2B">
            <w:pPr>
              <w:tabs>
                <w:tab w:val="center" w:pos="1060"/>
              </w:tabs>
              <w:spacing w:after="0" w:line="259" w:lineRule="auto"/>
              <w:ind w:left="0" w:firstLine="0"/>
            </w:pPr>
            <w:r>
              <w:rPr>
                <w:lang w:val="sl"/>
              </w:rPr>
              <w:tab/>
              <w:t>Kalijevega</w:t>
            </w:r>
          </w:p>
        </w:tc>
        <w:tc>
          <w:tcPr>
            <w:tcW w:w="7257" w:type="dxa"/>
            <w:tcBorders>
              <w:top w:val="nil"/>
              <w:left w:val="nil"/>
              <w:bottom w:val="nil"/>
              <w:right w:val="nil"/>
            </w:tcBorders>
          </w:tcPr>
          <w:p w14:paraId="642749CF" w14:textId="77777777" w:rsidR="00B53F6B" w:rsidRDefault="00B53F6B" w:rsidP="00FC6A2B">
            <w:pPr>
              <w:spacing w:after="0" w:line="259" w:lineRule="auto"/>
              <w:ind w:left="1" w:firstLine="0"/>
            </w:pPr>
            <w:r>
              <w:rPr>
                <w:lang w:val="sl"/>
              </w:rPr>
              <w:t>Predlagatelji shem izogibanja davkom</w:t>
            </w:r>
          </w:p>
        </w:tc>
      </w:tr>
      <w:tr w:rsidR="00B53F6B" w14:paraId="48B47145" w14:textId="77777777" w:rsidTr="00FC6A2B">
        <w:trPr>
          <w:trHeight w:val="230"/>
        </w:trPr>
        <w:tc>
          <w:tcPr>
            <w:tcW w:w="2160" w:type="dxa"/>
            <w:tcBorders>
              <w:top w:val="nil"/>
              <w:left w:val="nil"/>
              <w:bottom w:val="nil"/>
              <w:right w:val="nil"/>
            </w:tcBorders>
          </w:tcPr>
          <w:p w14:paraId="1A9305C0" w14:textId="77777777" w:rsidR="00B53F6B" w:rsidRDefault="00B53F6B" w:rsidP="00FC6A2B">
            <w:pPr>
              <w:tabs>
                <w:tab w:val="center" w:pos="932"/>
                <w:tab w:val="center" w:pos="1441"/>
              </w:tabs>
              <w:spacing w:after="0" w:line="259" w:lineRule="auto"/>
              <w:ind w:left="0" w:firstLine="0"/>
            </w:pPr>
            <w:r>
              <w:rPr>
                <w:lang w:val="sl"/>
              </w:rPr>
              <w:tab/>
              <w:t>SRN</w:t>
            </w:r>
            <w:r>
              <w:rPr>
                <w:lang w:val="sl"/>
              </w:rPr>
              <w:tab/>
            </w:r>
          </w:p>
        </w:tc>
        <w:tc>
          <w:tcPr>
            <w:tcW w:w="7257" w:type="dxa"/>
            <w:tcBorders>
              <w:top w:val="nil"/>
              <w:left w:val="nil"/>
              <w:bottom w:val="nil"/>
              <w:right w:val="nil"/>
            </w:tcBorders>
          </w:tcPr>
          <w:p w14:paraId="1550680D" w14:textId="77777777" w:rsidR="00B53F6B" w:rsidRDefault="00B53F6B" w:rsidP="00FC6A2B">
            <w:pPr>
              <w:spacing w:after="0" w:line="259" w:lineRule="auto"/>
              <w:ind w:left="1" w:firstLine="0"/>
            </w:pPr>
            <w:r>
              <w:rPr>
                <w:lang w:val="sl"/>
              </w:rPr>
              <w:t>Referenčna številka sheme</w:t>
            </w:r>
          </w:p>
        </w:tc>
      </w:tr>
      <w:tr w:rsidR="00B53F6B" w14:paraId="770D12E8" w14:textId="77777777" w:rsidTr="00FC6A2B">
        <w:trPr>
          <w:trHeight w:val="209"/>
        </w:trPr>
        <w:tc>
          <w:tcPr>
            <w:tcW w:w="2160" w:type="dxa"/>
            <w:tcBorders>
              <w:top w:val="nil"/>
              <w:left w:val="nil"/>
              <w:bottom w:val="nil"/>
              <w:right w:val="nil"/>
            </w:tcBorders>
          </w:tcPr>
          <w:p w14:paraId="4D6A46E5" w14:textId="77777777" w:rsidR="00B53F6B" w:rsidRDefault="00B53F6B" w:rsidP="00FC6A2B">
            <w:pPr>
              <w:spacing w:after="0" w:line="259" w:lineRule="auto"/>
              <w:ind w:left="0" w:firstLine="0"/>
            </w:pPr>
            <w:r>
              <w:t xml:space="preserve"> </w:t>
            </w:r>
          </w:p>
        </w:tc>
        <w:tc>
          <w:tcPr>
            <w:tcW w:w="7257" w:type="dxa"/>
            <w:tcBorders>
              <w:top w:val="nil"/>
              <w:left w:val="nil"/>
              <w:bottom w:val="nil"/>
              <w:right w:val="nil"/>
            </w:tcBorders>
          </w:tcPr>
          <w:p w14:paraId="012EAF70" w14:textId="77777777" w:rsidR="00B53F6B" w:rsidRDefault="00B53F6B" w:rsidP="00FC6A2B">
            <w:pPr>
              <w:spacing w:after="0" w:line="259" w:lineRule="auto"/>
              <w:ind w:left="720" w:firstLine="0"/>
            </w:pPr>
            <w:r>
              <w:t xml:space="preserve"> </w:t>
            </w:r>
          </w:p>
        </w:tc>
      </w:tr>
    </w:tbl>
    <w:p w14:paraId="4B9B4977" w14:textId="77777777" w:rsidR="00B53F6B" w:rsidRDefault="00B53F6B" w:rsidP="00B53F6B">
      <w:pPr>
        <w:pStyle w:val="Heading1"/>
        <w:tabs>
          <w:tab w:val="center" w:pos="781"/>
          <w:tab w:val="center" w:pos="3711"/>
        </w:tabs>
        <w:ind w:left="0" w:firstLine="0"/>
      </w:pPr>
      <w:r>
        <w:rPr>
          <w:b w:val="0"/>
          <w:sz w:val="22"/>
          <w:lang w:val="sl"/>
        </w:rPr>
        <w:tab/>
      </w:r>
      <w:r>
        <w:rPr>
          <w:lang w:val="sl"/>
        </w:rPr>
        <w:t xml:space="preserve">2 </w:t>
      </w:r>
      <w:r>
        <w:rPr>
          <w:lang w:val="sl"/>
        </w:rPr>
        <w:tab/>
        <w:t>temeljna načela</w:t>
      </w:r>
    </w:p>
    <w:p w14:paraId="1F5E30ED" w14:textId="77777777" w:rsidR="00B53F6B" w:rsidRDefault="00B53F6B" w:rsidP="00B53F6B">
      <w:pPr>
        <w:spacing w:after="114" w:line="259" w:lineRule="auto"/>
        <w:ind w:left="703" w:firstLine="0"/>
      </w:pPr>
      <w:r>
        <w:t xml:space="preserve"> </w:t>
      </w:r>
    </w:p>
    <w:p w14:paraId="7B87ADA4" w14:textId="77777777" w:rsidR="00B53F6B" w:rsidRDefault="00B53F6B" w:rsidP="00B53F6B">
      <w:pPr>
        <w:ind w:left="1435" w:right="15" w:hanging="720"/>
      </w:pPr>
      <w:r>
        <w:rPr>
          <w:lang w:val="sl"/>
        </w:rPr>
        <w:lastRenderedPageBreak/>
        <w:t xml:space="preserve">2,1 </w:t>
      </w:r>
      <w:r>
        <w:rPr>
          <w:lang w:val="sl"/>
        </w:rPr>
        <w:tab/>
        <w:t>etično obnašanje v davčnem poklicu je kritično. Delo, ki ga izvaja član, mora zaupati družba na splošno, pa tudi stranke in druge zainteresirane strani. Kaj član ne odraža samo na sebi, ampak na  poklic kot celoto.</w:t>
      </w:r>
    </w:p>
    <w:p w14:paraId="1F1D599A" w14:textId="77777777" w:rsidR="00B53F6B" w:rsidRDefault="00B53F6B" w:rsidP="00B53F6B">
      <w:pPr>
        <w:spacing w:after="0" w:line="259" w:lineRule="auto"/>
        <w:ind w:left="0" w:firstLine="0"/>
      </w:pPr>
      <w:r>
        <w:t xml:space="preserve"> </w:t>
      </w:r>
    </w:p>
    <w:p w14:paraId="44032783" w14:textId="77777777" w:rsidR="00B53F6B" w:rsidRDefault="00B53F6B" w:rsidP="00B53F6B">
      <w:pPr>
        <w:tabs>
          <w:tab w:val="center" w:pos="850"/>
          <w:tab w:val="center" w:pos="4380"/>
        </w:tabs>
        <w:ind w:left="0" w:firstLine="0"/>
      </w:pPr>
      <w:r>
        <w:rPr>
          <w:sz w:val="22"/>
          <w:lang w:val="sl"/>
        </w:rPr>
        <w:tab/>
      </w:r>
      <w:r>
        <w:rPr>
          <w:lang w:val="sl"/>
        </w:rPr>
        <w:t xml:space="preserve">2,2 </w:t>
      </w:r>
      <w:r>
        <w:rPr>
          <w:lang w:val="sl"/>
        </w:rPr>
        <w:tab/>
        <w:t>član mora izpolnjevati naslednja temeljna načela.</w:t>
      </w:r>
    </w:p>
    <w:p w14:paraId="480F99C4" w14:textId="77777777" w:rsidR="00B53F6B" w:rsidRDefault="00B53F6B" w:rsidP="00B53F6B">
      <w:pPr>
        <w:spacing w:after="23" w:line="259" w:lineRule="auto"/>
        <w:ind w:left="710" w:firstLine="0"/>
      </w:pPr>
      <w:r>
        <w:t xml:space="preserve"> </w:t>
      </w:r>
    </w:p>
    <w:p w14:paraId="198AD17E" w14:textId="77777777" w:rsidR="00B53F6B" w:rsidRDefault="00B53F6B" w:rsidP="00B53F6B">
      <w:pPr>
        <w:tabs>
          <w:tab w:val="center" w:pos="1488"/>
          <w:tab w:val="center" w:pos="2215"/>
        </w:tabs>
        <w:spacing w:after="0" w:line="259" w:lineRule="auto"/>
        <w:ind w:left="0" w:firstLine="0"/>
      </w:pPr>
      <w:r>
        <w:rPr>
          <w:sz w:val="22"/>
          <w:lang w:val="sl"/>
        </w:rPr>
        <w:tab/>
      </w:r>
      <w:r>
        <w:rPr>
          <w:sz w:val="21"/>
          <w:lang w:val="sl"/>
        </w:rPr>
        <w:t>•</w:t>
      </w:r>
      <w:r>
        <w:rPr>
          <w:sz w:val="21"/>
          <w:lang w:val="sl"/>
        </w:rPr>
        <w:tab/>
      </w:r>
      <w:r>
        <w:rPr>
          <w:b/>
          <w:sz w:val="21"/>
          <w:lang w:val="sl"/>
        </w:rPr>
        <w:t xml:space="preserve"> Integriteta</w:t>
      </w:r>
    </w:p>
    <w:p w14:paraId="7D9387B7" w14:textId="77777777" w:rsidR="00B53F6B" w:rsidRDefault="00B53F6B" w:rsidP="00B53F6B">
      <w:pPr>
        <w:spacing w:after="0" w:line="259" w:lineRule="auto"/>
        <w:ind w:left="720" w:firstLine="0"/>
      </w:pPr>
      <w:r>
        <w:t xml:space="preserve"> </w:t>
      </w:r>
    </w:p>
    <w:p w14:paraId="1FCA797C" w14:textId="77777777" w:rsidR="00B53F6B" w:rsidRDefault="00B53F6B" w:rsidP="00B53F6B">
      <w:pPr>
        <w:ind w:left="1449" w:right="15"/>
      </w:pPr>
      <w:r>
        <w:rPr>
          <w:lang w:val="sl"/>
        </w:rPr>
        <w:t>Biti preprost in pošten v vseh strokovnih in poslovnih odnosih.</w:t>
      </w:r>
    </w:p>
    <w:p w14:paraId="35A34338" w14:textId="77777777" w:rsidR="00B53F6B" w:rsidRDefault="00B53F6B" w:rsidP="00B53F6B">
      <w:pPr>
        <w:spacing w:after="23" w:line="259" w:lineRule="auto"/>
        <w:ind w:left="720" w:firstLine="0"/>
      </w:pPr>
      <w:r>
        <w:t xml:space="preserve"> </w:t>
      </w:r>
    </w:p>
    <w:p w14:paraId="53568586" w14:textId="77777777" w:rsidR="00B53F6B" w:rsidRDefault="00B53F6B" w:rsidP="00B53F6B">
      <w:pPr>
        <w:pStyle w:val="Heading2"/>
        <w:tabs>
          <w:tab w:val="center" w:pos="1488"/>
          <w:tab w:val="center" w:pos="2338"/>
        </w:tabs>
        <w:ind w:left="0" w:firstLine="0"/>
      </w:pPr>
      <w:r>
        <w:rPr>
          <w:b w:val="0"/>
          <w:sz w:val="22"/>
          <w:lang w:val="sl"/>
        </w:rPr>
        <w:tab/>
      </w:r>
      <w:r>
        <w:rPr>
          <w:b w:val="0"/>
          <w:sz w:val="21"/>
          <w:lang w:val="sl"/>
        </w:rPr>
        <w:t>•</w:t>
      </w:r>
      <w:r>
        <w:rPr>
          <w:b w:val="0"/>
          <w:sz w:val="21"/>
          <w:lang w:val="sl"/>
        </w:rPr>
        <w:tab/>
      </w:r>
      <w:r>
        <w:rPr>
          <w:sz w:val="21"/>
          <w:lang w:val="sl"/>
        </w:rPr>
        <w:t xml:space="preserve"> Objektivnost</w:t>
      </w:r>
    </w:p>
    <w:p w14:paraId="394D38C7" w14:textId="77777777" w:rsidR="00B53F6B" w:rsidRDefault="00B53F6B" w:rsidP="00B53F6B">
      <w:pPr>
        <w:spacing w:after="0" w:line="259" w:lineRule="auto"/>
        <w:ind w:left="720" w:firstLine="0"/>
      </w:pPr>
      <w:r>
        <w:t xml:space="preserve"> </w:t>
      </w:r>
    </w:p>
    <w:p w14:paraId="6287EEA0" w14:textId="77777777" w:rsidR="00B53F6B" w:rsidRDefault="00B53F6B" w:rsidP="00B53F6B">
      <w:pPr>
        <w:ind w:left="1449" w:right="15"/>
      </w:pPr>
      <w:r>
        <w:rPr>
          <w:lang w:val="sl"/>
        </w:rPr>
        <w:t>Da ne bi dopuščali predsodkov, navzkrižja interesov ali neupravičenega vpliva drugih, da bi preglasili poklicne ali poslovne sodbe.</w:t>
      </w:r>
    </w:p>
    <w:p w14:paraId="13DA6325" w14:textId="77777777" w:rsidR="00B53F6B" w:rsidRDefault="00B53F6B" w:rsidP="00B53F6B">
      <w:pPr>
        <w:spacing w:after="23" w:line="259" w:lineRule="auto"/>
        <w:ind w:left="720" w:firstLine="0"/>
      </w:pPr>
      <w:r>
        <w:t xml:space="preserve"> </w:t>
      </w:r>
    </w:p>
    <w:p w14:paraId="3C1A2EF3" w14:textId="77777777" w:rsidR="00B53F6B" w:rsidRDefault="00B53F6B" w:rsidP="00B53F6B">
      <w:pPr>
        <w:pStyle w:val="Heading2"/>
        <w:tabs>
          <w:tab w:val="center" w:pos="1488"/>
          <w:tab w:val="center" w:pos="3748"/>
        </w:tabs>
        <w:ind w:left="0" w:firstLine="0"/>
      </w:pPr>
      <w:r>
        <w:rPr>
          <w:b w:val="0"/>
          <w:sz w:val="22"/>
          <w:lang w:val="sl"/>
        </w:rPr>
        <w:tab/>
      </w:r>
      <w:r>
        <w:rPr>
          <w:b w:val="0"/>
          <w:sz w:val="21"/>
          <w:lang w:val="sl"/>
        </w:rPr>
        <w:t>•</w:t>
      </w:r>
      <w:r>
        <w:rPr>
          <w:b w:val="0"/>
          <w:sz w:val="21"/>
          <w:lang w:val="sl"/>
        </w:rPr>
        <w:tab/>
      </w:r>
      <w:r>
        <w:rPr>
          <w:sz w:val="21"/>
          <w:lang w:val="sl"/>
        </w:rPr>
        <w:t xml:space="preserve"> Strokovna usposobljenost in skrbna oskrba</w:t>
      </w:r>
    </w:p>
    <w:p w14:paraId="5387F612" w14:textId="77777777" w:rsidR="00B53F6B" w:rsidRDefault="00B53F6B" w:rsidP="00B53F6B">
      <w:pPr>
        <w:spacing w:after="0" w:line="259" w:lineRule="auto"/>
        <w:ind w:left="720" w:firstLine="0"/>
      </w:pPr>
      <w:r>
        <w:t xml:space="preserve"> </w:t>
      </w:r>
    </w:p>
    <w:p w14:paraId="21F7E98E" w14:textId="77777777" w:rsidR="00B53F6B" w:rsidRDefault="00B53F6B" w:rsidP="00B53F6B">
      <w:pPr>
        <w:ind w:left="1449" w:right="15"/>
      </w:pPr>
      <w:r>
        <w:rPr>
          <w:lang w:val="sl"/>
        </w:rPr>
        <w:t>Ohranjanje strokovnega znanja in spretnosti na ravni, ki je potrebna za zagotovitev, da stranka ali delodajalec prejme strokovno službo na podlagi trenutnega razvoja v praksi, zakonodaje in tehnik ter deluje vestno in v skladu z veljavnimi tehničnimi in strokovnimi standardi.</w:t>
      </w:r>
    </w:p>
    <w:p w14:paraId="3EC7BE55" w14:textId="77777777" w:rsidR="00B53F6B" w:rsidRDefault="00B53F6B" w:rsidP="00B53F6B">
      <w:pPr>
        <w:spacing w:after="23" w:line="259" w:lineRule="auto"/>
        <w:ind w:left="720" w:firstLine="0"/>
      </w:pPr>
      <w:r>
        <w:t xml:space="preserve"> </w:t>
      </w:r>
    </w:p>
    <w:p w14:paraId="0FDDA33D" w14:textId="77777777" w:rsidR="00B53F6B" w:rsidRDefault="00B53F6B" w:rsidP="00B53F6B">
      <w:pPr>
        <w:pStyle w:val="Heading2"/>
        <w:tabs>
          <w:tab w:val="center" w:pos="1488"/>
          <w:tab w:val="center" w:pos="2530"/>
        </w:tabs>
        <w:ind w:left="0" w:firstLine="0"/>
      </w:pPr>
      <w:r>
        <w:rPr>
          <w:b w:val="0"/>
          <w:sz w:val="22"/>
          <w:lang w:val="sl"/>
        </w:rPr>
        <w:tab/>
      </w:r>
      <w:r>
        <w:rPr>
          <w:b w:val="0"/>
          <w:sz w:val="21"/>
          <w:lang w:val="sl"/>
        </w:rPr>
        <w:t>•</w:t>
      </w:r>
      <w:r>
        <w:rPr>
          <w:b w:val="0"/>
          <w:sz w:val="21"/>
          <w:lang w:val="sl"/>
        </w:rPr>
        <w:tab/>
      </w:r>
      <w:r>
        <w:rPr>
          <w:sz w:val="21"/>
          <w:lang w:val="sl"/>
        </w:rPr>
        <w:t xml:space="preserve"> Zaupnost</w:t>
      </w:r>
    </w:p>
    <w:p w14:paraId="44CC2544" w14:textId="77777777" w:rsidR="00B53F6B" w:rsidRDefault="00B53F6B" w:rsidP="00B53F6B">
      <w:pPr>
        <w:spacing w:after="0" w:line="259" w:lineRule="auto"/>
        <w:ind w:left="720" w:firstLine="0"/>
      </w:pPr>
      <w:r>
        <w:t xml:space="preserve"> </w:t>
      </w:r>
    </w:p>
    <w:p w14:paraId="66BE6DD4" w14:textId="77777777" w:rsidR="00B53F6B" w:rsidRDefault="00B53F6B" w:rsidP="00B53F6B">
      <w:pPr>
        <w:ind w:left="1449" w:right="15"/>
      </w:pPr>
      <w:r>
        <w:rPr>
          <w:lang w:val="sl"/>
        </w:rPr>
        <w:t>Spoštovati zaupnost informacij, pridobljenih zaradi poklicnih in poslovnih odnosov, in zato ne razkrije nobenih takih informacij tretjim osebam brez ustreznega in posebnega organa, razen če obstaja pravna ali poklicna pravica ali dolžnost razkritja ali uporabe informacij za osebno korist člana ali tretjih oseb.</w:t>
      </w:r>
    </w:p>
    <w:p w14:paraId="32884CD6" w14:textId="77777777" w:rsidR="00B53F6B" w:rsidRDefault="00B53F6B" w:rsidP="00B53F6B">
      <w:pPr>
        <w:spacing w:after="0" w:line="259" w:lineRule="auto"/>
        <w:ind w:left="720" w:firstLine="0"/>
      </w:pPr>
      <w:r>
        <w:t xml:space="preserve"> </w:t>
      </w:r>
    </w:p>
    <w:p w14:paraId="31F87A05" w14:textId="77777777" w:rsidR="00B53F6B" w:rsidRDefault="00B53F6B" w:rsidP="00B53F6B">
      <w:pPr>
        <w:pStyle w:val="Heading2"/>
        <w:ind w:left="1435"/>
      </w:pPr>
      <w:r>
        <w:rPr>
          <w:sz w:val="21"/>
          <w:lang w:val="sl"/>
        </w:rPr>
        <w:t>Poklicno vedenje</w:t>
      </w:r>
    </w:p>
    <w:p w14:paraId="246DE836" w14:textId="77777777" w:rsidR="00B53F6B" w:rsidRDefault="00B53F6B" w:rsidP="00B53F6B">
      <w:pPr>
        <w:spacing w:after="0" w:line="259" w:lineRule="auto"/>
        <w:ind w:left="720" w:firstLine="0"/>
      </w:pPr>
      <w:r>
        <w:t xml:space="preserve"> </w:t>
      </w:r>
    </w:p>
    <w:p w14:paraId="277223A7" w14:textId="77777777" w:rsidR="00B53F6B" w:rsidRDefault="00B53F6B" w:rsidP="00B53F6B">
      <w:pPr>
        <w:ind w:left="1449" w:right="15"/>
      </w:pPr>
      <w:r>
        <w:rPr>
          <w:lang w:val="sl"/>
        </w:rPr>
        <w:t>Da bi upoštevali ustrezne zakone in predpise ter se izognili vsakršni tožbi, ki je diskreditira poklic.</w:t>
      </w:r>
    </w:p>
    <w:p w14:paraId="60CE94CF" w14:textId="77777777" w:rsidR="00B53F6B" w:rsidRDefault="00B53F6B" w:rsidP="00B53F6B">
      <w:pPr>
        <w:spacing w:after="0" w:line="259" w:lineRule="auto"/>
        <w:ind w:left="720" w:firstLine="0"/>
      </w:pPr>
      <w:r>
        <w:t xml:space="preserve"> </w:t>
      </w:r>
    </w:p>
    <w:p w14:paraId="702FAC8D" w14:textId="77777777" w:rsidR="00B53F6B" w:rsidRDefault="00B53F6B" w:rsidP="00B53F6B">
      <w:pPr>
        <w:tabs>
          <w:tab w:val="center" w:pos="859"/>
          <w:tab w:val="center" w:pos="6148"/>
        </w:tabs>
        <w:ind w:left="0" w:firstLine="0"/>
      </w:pPr>
      <w:r>
        <w:rPr>
          <w:sz w:val="22"/>
          <w:lang w:val="sl"/>
        </w:rPr>
        <w:tab/>
      </w:r>
      <w:r>
        <w:rPr>
          <w:lang w:val="sl"/>
        </w:rPr>
        <w:t xml:space="preserve">2,3 </w:t>
      </w:r>
      <w:r>
        <w:rPr>
          <w:lang w:val="sl"/>
        </w:rPr>
        <w:tab/>
        <w:t>vsako od teh temeljnih načel je podrobneje obravnavano spodaj v okviru storitev obdavčitve.</w:t>
      </w:r>
    </w:p>
    <w:p w14:paraId="6FFB97E1" w14:textId="77777777" w:rsidR="00B53F6B" w:rsidRDefault="00B53F6B" w:rsidP="00B53F6B">
      <w:pPr>
        <w:spacing w:after="18" w:line="259" w:lineRule="auto"/>
        <w:ind w:left="720" w:firstLine="0"/>
      </w:pPr>
      <w:r>
        <w:t xml:space="preserve">  </w:t>
      </w:r>
    </w:p>
    <w:p w14:paraId="21FE79EB" w14:textId="77777777" w:rsidR="00B53F6B" w:rsidRDefault="00B53F6B" w:rsidP="00B53F6B">
      <w:pPr>
        <w:pStyle w:val="Heading2"/>
        <w:ind w:left="715"/>
      </w:pPr>
      <w:r>
        <w:rPr>
          <w:lang w:val="sl"/>
        </w:rPr>
        <w:t>Celovitost</w:t>
      </w:r>
    </w:p>
    <w:p w14:paraId="3A97E47E" w14:textId="77777777" w:rsidR="00B53F6B" w:rsidRDefault="00B53F6B" w:rsidP="00B53F6B">
      <w:pPr>
        <w:spacing w:after="0" w:line="259" w:lineRule="auto"/>
        <w:ind w:left="710" w:firstLine="0"/>
      </w:pPr>
      <w:r>
        <w:t xml:space="preserve"> </w:t>
      </w:r>
    </w:p>
    <w:p w14:paraId="7025917C" w14:textId="77777777" w:rsidR="00B53F6B" w:rsidRDefault="00B53F6B" w:rsidP="00B53F6B">
      <w:pPr>
        <w:ind w:left="1435" w:right="15" w:hanging="720"/>
      </w:pPr>
      <w:r>
        <w:rPr>
          <w:lang w:val="sl"/>
        </w:rPr>
        <w:t xml:space="preserve">2,4 </w:t>
      </w:r>
      <w:r>
        <w:rPr>
          <w:lang w:val="sl"/>
        </w:rPr>
        <w:tab/>
        <w:t xml:space="preserve">član mora ravnati pošteno v vseh svojih odnosih s svojimi strankami, vse davčne organe in druge zainteresirane stranke, in ne storiti ničesar zavestno ali brezskrbno, da bi lahko zavajala bodisi s provizijo ali opustitev.  </w:t>
      </w:r>
    </w:p>
    <w:p w14:paraId="6C4B2879" w14:textId="77777777" w:rsidR="00B53F6B" w:rsidRDefault="00B53F6B" w:rsidP="00B53F6B">
      <w:pPr>
        <w:spacing w:after="19" w:line="259" w:lineRule="auto"/>
        <w:ind w:left="720" w:firstLine="0"/>
      </w:pPr>
      <w:r>
        <w:t xml:space="preserve"> </w:t>
      </w:r>
    </w:p>
    <w:p w14:paraId="1A5C8F7D" w14:textId="77777777" w:rsidR="00B53F6B" w:rsidRDefault="00B53F6B" w:rsidP="00B53F6B">
      <w:pPr>
        <w:pStyle w:val="Heading2"/>
        <w:ind w:left="715"/>
      </w:pPr>
      <w:r>
        <w:rPr>
          <w:lang w:val="sl"/>
        </w:rPr>
        <w:t>Objektivnost</w:t>
      </w:r>
    </w:p>
    <w:p w14:paraId="6BF966AE" w14:textId="77777777" w:rsidR="00B53F6B" w:rsidRDefault="00B53F6B" w:rsidP="00B53F6B">
      <w:pPr>
        <w:spacing w:after="0" w:line="259" w:lineRule="auto"/>
        <w:ind w:left="720" w:firstLine="0"/>
      </w:pPr>
      <w:r>
        <w:t xml:space="preserve"> </w:t>
      </w:r>
    </w:p>
    <w:p w14:paraId="59E50ADC" w14:textId="77777777" w:rsidR="00B53F6B" w:rsidRDefault="00B53F6B" w:rsidP="00B53F6B">
      <w:pPr>
        <w:ind w:left="1435" w:right="15" w:hanging="720"/>
      </w:pPr>
      <w:r>
        <w:rPr>
          <w:lang w:val="sl"/>
        </w:rPr>
        <w:t xml:space="preserve">2,5 </w:t>
      </w:r>
      <w:r>
        <w:rPr>
          <w:lang w:val="sl"/>
        </w:rPr>
        <w:tab/>
        <w:t xml:space="preserve">član je lahko izpostavljen razmeram, ki bi lahko oslabile njihovo objektivnost. Ni izvedljivo določiti in predpisati vseh takšnih situacij.  Izogibati se je treba odnosom, ki pristranskosti ali neupravičeno vplivajo na strokovno presojo člana. </w:t>
      </w:r>
    </w:p>
    <w:p w14:paraId="42DE7842" w14:textId="77777777" w:rsidR="00B53F6B" w:rsidRDefault="00B53F6B" w:rsidP="00B53F6B">
      <w:pPr>
        <w:spacing w:after="0" w:line="259" w:lineRule="auto"/>
        <w:ind w:left="720" w:firstLine="0"/>
      </w:pPr>
      <w:r>
        <w:t xml:space="preserve"> </w:t>
      </w:r>
    </w:p>
    <w:p w14:paraId="6BB849C0" w14:textId="77777777" w:rsidR="00B53F6B" w:rsidRDefault="00B53F6B" w:rsidP="00B53F6B">
      <w:pPr>
        <w:ind w:left="1435" w:right="15" w:hanging="720"/>
      </w:pPr>
      <w:r>
        <w:rPr>
          <w:lang w:val="sl"/>
        </w:rPr>
        <w:t xml:space="preserve">2,6 </w:t>
      </w:r>
      <w:r>
        <w:rPr>
          <w:lang w:val="sl"/>
        </w:rPr>
        <w:tab/>
        <w:t>član mora svojim strankam razložiti bistvena tveganja pri davčnem načrtovanju ali davčnem položaju in na podlagi katerih je bil nasvet podan.</w:t>
      </w:r>
    </w:p>
    <w:p w14:paraId="17F2396C" w14:textId="77777777" w:rsidR="00B53F6B" w:rsidRDefault="00B53F6B" w:rsidP="00B53F6B">
      <w:pPr>
        <w:spacing w:after="0" w:line="259" w:lineRule="auto"/>
        <w:ind w:left="720" w:firstLine="0"/>
      </w:pPr>
      <w:r>
        <w:t xml:space="preserve"> </w:t>
      </w:r>
    </w:p>
    <w:p w14:paraId="4291A2A6" w14:textId="77777777" w:rsidR="00B53F6B" w:rsidRDefault="00B53F6B" w:rsidP="00B53F6B">
      <w:pPr>
        <w:ind w:left="1434" w:right="15" w:hanging="719"/>
      </w:pPr>
      <w:r>
        <w:rPr>
          <w:lang w:val="sl"/>
        </w:rPr>
        <w:t xml:space="preserve">2,7 </w:t>
      </w:r>
      <w:r>
        <w:rPr>
          <w:lang w:val="sl"/>
        </w:rPr>
        <w:tab/>
        <w:t xml:space="preserve">član mora vedno razkriti svoji stranki, če prejemajo provizijo, spodbude ali katero koli drugo ugodnost in zneske, ki jih prejmejo od tretje osebe v zvezi z zadevo, na kateri svetujejo svoji stranki. Upoštevati morajo tudi pravila svojega strokovnega organa o razkritju in računovodstvu provizije. Glej CIOT  </w:t>
      </w:r>
      <w:hyperlink r:id="rId12">
        <w:proofErr w:type="spellStart"/>
        <w:r>
          <w:rPr>
            <w:color w:val="0563C1"/>
            <w:u w:val="single" w:color="0563C1"/>
            <w:lang w:val="sl"/>
          </w:rPr>
          <w:t>prpg</w:t>
        </w:r>
        <w:proofErr w:type="spellEnd"/>
      </w:hyperlink>
      <w:r>
        <w:rPr>
          <w:lang w:val="sl"/>
        </w:rPr>
        <w:t xml:space="preserve"> </w:t>
      </w:r>
      <w:hyperlink r:id="rId13"/>
      <w:r>
        <w:rPr>
          <w:lang w:val="sl"/>
        </w:rPr>
        <w:t xml:space="preserve"> in ATT  </w:t>
      </w:r>
      <w:hyperlink r:id="rId14">
        <w:proofErr w:type="spellStart"/>
        <w:r>
          <w:rPr>
            <w:color w:val="0563C1"/>
            <w:u w:val="single" w:color="0563C1"/>
            <w:lang w:val="sl"/>
          </w:rPr>
          <w:t>prpg</w:t>
        </w:r>
        <w:proofErr w:type="spellEnd"/>
      </w:hyperlink>
      <w:hyperlink r:id="rId15">
        <w:r>
          <w:rPr>
            <w:lang w:val="sl"/>
          </w:rPr>
          <w:t>.</w:t>
        </w:r>
      </w:hyperlink>
    </w:p>
    <w:p w14:paraId="68199FE8" w14:textId="77777777" w:rsidR="00B53F6B" w:rsidRDefault="00B53F6B" w:rsidP="00B53F6B">
      <w:pPr>
        <w:spacing w:after="0" w:line="259" w:lineRule="auto"/>
        <w:ind w:left="710" w:firstLine="0"/>
      </w:pPr>
      <w:r>
        <w:rPr>
          <w:b/>
          <w:sz w:val="22"/>
        </w:rPr>
        <w:lastRenderedPageBreak/>
        <w:t xml:space="preserve"> </w:t>
      </w:r>
    </w:p>
    <w:p w14:paraId="3A186CCF" w14:textId="77777777" w:rsidR="00B53F6B" w:rsidRDefault="00B53F6B" w:rsidP="00B53F6B">
      <w:pPr>
        <w:pStyle w:val="Heading2"/>
        <w:ind w:left="715"/>
      </w:pPr>
      <w:r>
        <w:rPr>
          <w:lang w:val="sl"/>
        </w:rPr>
        <w:t>Strokovna usposobljenost in skrbna oskrba</w:t>
      </w:r>
    </w:p>
    <w:p w14:paraId="56131FC2" w14:textId="77777777" w:rsidR="00B53F6B" w:rsidRDefault="00B53F6B" w:rsidP="00B53F6B">
      <w:pPr>
        <w:spacing w:after="0" w:line="259" w:lineRule="auto"/>
        <w:ind w:left="720" w:firstLine="0"/>
      </w:pPr>
      <w:r>
        <w:t xml:space="preserve"> </w:t>
      </w:r>
    </w:p>
    <w:p w14:paraId="36B63828" w14:textId="77777777" w:rsidR="00B53F6B" w:rsidRDefault="00B53F6B" w:rsidP="00B53F6B">
      <w:pPr>
        <w:ind w:left="1434" w:right="15" w:hanging="719"/>
      </w:pPr>
      <w:r>
        <w:rPr>
          <w:lang w:val="sl"/>
        </w:rPr>
        <w:t xml:space="preserve">2,8 </w:t>
      </w:r>
      <w:r>
        <w:rPr>
          <w:lang w:val="sl"/>
        </w:rPr>
        <w:tab/>
        <w:t>član je poklicno dolžan opravljati svoje delo v okviru svoje dejavnosti in s potrebnim znanjem in skrbnostjo.  Član mora paziti, da ne bo zašel preko dogovorjenih pogojev posla; Če ne presegajo  področja uporabe , se morajo dogovoriti o spremenjenih pogojih s svojo stranko in preveriti, ali njihovo poklicno zavarovanje krije okrepljeno delo.</w:t>
      </w:r>
    </w:p>
    <w:p w14:paraId="079538D7" w14:textId="77777777" w:rsidR="00B53F6B" w:rsidRDefault="00B53F6B" w:rsidP="00B53F6B">
      <w:pPr>
        <w:spacing w:after="0" w:line="259" w:lineRule="auto"/>
        <w:ind w:left="720" w:firstLine="0"/>
      </w:pPr>
      <w:r>
        <w:t xml:space="preserve"> </w:t>
      </w:r>
    </w:p>
    <w:p w14:paraId="02B24F93" w14:textId="77777777" w:rsidR="00B53F6B" w:rsidRDefault="00B53F6B" w:rsidP="00B53F6B">
      <w:pPr>
        <w:ind w:left="1435" w:right="15" w:hanging="720"/>
      </w:pPr>
      <w:r>
        <w:rPr>
          <w:lang w:val="sl"/>
        </w:rPr>
        <w:t xml:space="preserve">2,9 </w:t>
      </w:r>
      <w:r>
        <w:rPr>
          <w:lang w:val="sl"/>
        </w:rPr>
        <w:tab/>
        <w:t>član lahko svobodno izbere  , ali  bo deloval za stranko na splošno in v zvezi s posebnimi dejavnostmi.  Če pa se član odloči omejiti ali spremeniti obseg  storitev  , ki jih zagotavljajo stranki, morajo to jasno pisno pojasniti.</w:t>
      </w:r>
    </w:p>
    <w:p w14:paraId="0DA3681D" w14:textId="77777777" w:rsidR="00B53F6B" w:rsidRDefault="00B53F6B" w:rsidP="00B53F6B">
      <w:pPr>
        <w:spacing w:after="0" w:line="259" w:lineRule="auto"/>
        <w:ind w:left="720" w:firstLine="0"/>
      </w:pPr>
      <w:r>
        <w:t xml:space="preserve"> </w:t>
      </w:r>
    </w:p>
    <w:p w14:paraId="50DDCC5F" w14:textId="77777777" w:rsidR="00B53F6B" w:rsidRDefault="00B53F6B" w:rsidP="00B53F6B">
      <w:pPr>
        <w:ind w:left="1435" w:right="15" w:hanging="720"/>
      </w:pPr>
      <w:r>
        <w:rPr>
          <w:lang w:val="sl"/>
        </w:rPr>
        <w:t xml:space="preserve">2,10 </w:t>
      </w:r>
      <w:r>
        <w:rPr>
          <w:lang w:val="sl"/>
        </w:rPr>
        <w:tab/>
        <w:t xml:space="preserve">pri svetovanju  stranki je član dolžan služiti interesom te stranke v ustreznem pravnem in regulativnem okviru.    </w:t>
      </w:r>
    </w:p>
    <w:p w14:paraId="67F62CF4" w14:textId="77777777" w:rsidR="00B53F6B" w:rsidRDefault="00B53F6B" w:rsidP="00B53F6B">
      <w:pPr>
        <w:spacing w:after="0" w:line="259" w:lineRule="auto"/>
        <w:ind w:left="720" w:firstLine="0"/>
      </w:pPr>
      <w:r>
        <w:t xml:space="preserve"> </w:t>
      </w:r>
    </w:p>
    <w:p w14:paraId="6A2781AD" w14:textId="77777777" w:rsidR="00B53F6B" w:rsidRDefault="00B53F6B" w:rsidP="00B53F6B">
      <w:pPr>
        <w:ind w:left="1435" w:right="15" w:hanging="720"/>
      </w:pPr>
      <w:r>
        <w:rPr>
          <w:lang w:val="sl"/>
        </w:rPr>
        <w:t xml:space="preserve">2,11 </w:t>
      </w:r>
      <w:r>
        <w:rPr>
          <w:lang w:val="sl"/>
        </w:rPr>
        <w:tab/>
        <w:t>član mora opravljati svoje delo z ustreznim upoštevanjem tehničnih in poklicnih standardov, ki se pričakujejo. Zlasti član ne sme opravljati strokovnega dela, za katerega niso pristojni za opravljanje, razen če  pridobi  ustrezno pomoč od ustrezno usposobljenega strokovnjaka.</w:t>
      </w:r>
    </w:p>
    <w:p w14:paraId="08A6BF6A" w14:textId="77777777" w:rsidR="00B53F6B" w:rsidRDefault="00B53F6B" w:rsidP="00B53F6B">
      <w:pPr>
        <w:spacing w:after="0" w:line="259" w:lineRule="auto"/>
        <w:ind w:left="719" w:firstLine="0"/>
      </w:pPr>
      <w:r>
        <w:t xml:space="preserve"> </w:t>
      </w:r>
    </w:p>
    <w:p w14:paraId="0009F8C3" w14:textId="77777777" w:rsidR="00B53F6B" w:rsidRDefault="00B53F6B" w:rsidP="00B53F6B">
      <w:pPr>
        <w:ind w:left="1435" w:right="15" w:hanging="720"/>
      </w:pPr>
      <w:r>
        <w:rPr>
          <w:lang w:val="sl"/>
        </w:rPr>
        <w:t xml:space="preserve">2,12 </w:t>
      </w:r>
      <w:r>
        <w:rPr>
          <w:lang w:val="sl"/>
        </w:rPr>
        <w:tab/>
        <w:t xml:space="preserve">član, ki daje tisto, kar verjamejo, da je pomembno mnenje za stranko, bi morala razmisliti o pridobitvi drugega mnenja, da podpre nasvet.  Če je treba drugo mnenje pridobiti navzven, je treba ustrezno upoštevati zaupnost strank. </w:t>
      </w:r>
    </w:p>
    <w:p w14:paraId="19990D9C" w14:textId="77777777" w:rsidR="00B53F6B" w:rsidRDefault="00B53F6B" w:rsidP="00B53F6B">
      <w:pPr>
        <w:spacing w:after="0" w:line="259" w:lineRule="auto"/>
        <w:ind w:left="719" w:firstLine="0"/>
      </w:pPr>
      <w:r>
        <w:t xml:space="preserve"> </w:t>
      </w:r>
    </w:p>
    <w:p w14:paraId="1FABD911" w14:textId="77777777" w:rsidR="00B53F6B" w:rsidRDefault="00B53F6B" w:rsidP="00B53F6B">
      <w:pPr>
        <w:ind w:left="1435" w:right="15" w:hanging="720"/>
      </w:pPr>
      <w:r>
        <w:rPr>
          <w:lang w:val="sl"/>
        </w:rPr>
        <w:t xml:space="preserve">2,13 </w:t>
      </w:r>
      <w:r>
        <w:rPr>
          <w:lang w:val="sl"/>
        </w:rPr>
        <w:tab/>
        <w:t xml:space="preserve">nasvet je treba dati v okviru trgovinskih in drugih ciljev, ki niso davčni, ter dejstev in okoliščin stranke.   </w:t>
      </w:r>
    </w:p>
    <w:p w14:paraId="1EB31592" w14:textId="77777777" w:rsidR="00B53F6B" w:rsidRDefault="00B53F6B" w:rsidP="00B53F6B">
      <w:pPr>
        <w:spacing w:after="0" w:line="259" w:lineRule="auto"/>
        <w:ind w:left="719" w:firstLine="0"/>
      </w:pPr>
      <w:r>
        <w:t xml:space="preserve"> </w:t>
      </w:r>
    </w:p>
    <w:p w14:paraId="574F52BC" w14:textId="77777777" w:rsidR="00B53F6B" w:rsidRDefault="00B53F6B" w:rsidP="00B53F6B">
      <w:pPr>
        <w:ind w:left="1435" w:right="15" w:hanging="720"/>
      </w:pPr>
      <w:r>
        <w:rPr>
          <w:lang w:val="sl"/>
        </w:rPr>
        <w:t xml:space="preserve">2,14 včasih </w:t>
      </w:r>
      <w:r>
        <w:rPr>
          <w:lang w:val="sl"/>
        </w:rPr>
        <w:tab/>
        <w:t xml:space="preserve">lahko obstaja več kot ena razlaga prava.  Vsak primer je treba obravnavati na podlagi lastnih posameznih dejstev in okoliščin.  </w:t>
      </w:r>
    </w:p>
    <w:p w14:paraId="1925E831" w14:textId="77777777" w:rsidR="00B53F6B" w:rsidRDefault="00B53F6B" w:rsidP="00B53F6B">
      <w:pPr>
        <w:spacing w:after="18" w:line="259" w:lineRule="auto"/>
        <w:ind w:left="718" w:firstLine="0"/>
      </w:pPr>
      <w:r>
        <w:t xml:space="preserve"> </w:t>
      </w:r>
    </w:p>
    <w:p w14:paraId="5E4956DF" w14:textId="77777777" w:rsidR="00B53F6B" w:rsidRDefault="00B53F6B" w:rsidP="00B53F6B">
      <w:pPr>
        <w:pStyle w:val="Heading2"/>
        <w:ind w:left="715"/>
      </w:pPr>
      <w:r>
        <w:rPr>
          <w:lang w:val="sl"/>
        </w:rPr>
        <w:t>Zaupnost</w:t>
      </w:r>
    </w:p>
    <w:p w14:paraId="3E969642" w14:textId="77777777" w:rsidR="00B53F6B" w:rsidRDefault="00B53F6B" w:rsidP="00B53F6B">
      <w:pPr>
        <w:spacing w:after="0" w:line="259" w:lineRule="auto"/>
        <w:ind w:left="720" w:firstLine="0"/>
      </w:pPr>
      <w:r>
        <w:t xml:space="preserve"> </w:t>
      </w:r>
    </w:p>
    <w:p w14:paraId="320F355F" w14:textId="77777777" w:rsidR="00B53F6B" w:rsidRDefault="00B53F6B" w:rsidP="00B53F6B">
      <w:pPr>
        <w:ind w:left="1435" w:right="15" w:hanging="720"/>
      </w:pPr>
      <w:r>
        <w:rPr>
          <w:lang w:val="sl"/>
        </w:rPr>
        <w:t xml:space="preserve">2,15 </w:t>
      </w:r>
      <w:r>
        <w:rPr>
          <w:lang w:val="sl"/>
        </w:rPr>
        <w:tab/>
        <w:t xml:space="preserve">zaupnost je strokovno načelo in je tudi pravno izvršljiva pogodbena obveznost. To je lahko izrecno obdobje zaročnega pisma med članico in stranko.  Če ni izrecnega izraza, bi sodišče v večini primerov moralo obravnavati zaupnost kot implicitni Pogodbeni pogoj. </w:t>
      </w:r>
    </w:p>
    <w:p w14:paraId="0C7F5DB9" w14:textId="77777777" w:rsidR="00B53F6B" w:rsidRDefault="00B53F6B" w:rsidP="00B53F6B">
      <w:pPr>
        <w:spacing w:after="0" w:line="259" w:lineRule="auto"/>
        <w:ind w:left="720" w:firstLine="0"/>
      </w:pPr>
      <w:r>
        <w:t xml:space="preserve"> </w:t>
      </w:r>
    </w:p>
    <w:p w14:paraId="0D3B3E61" w14:textId="77777777" w:rsidR="00B53F6B" w:rsidRDefault="00B53F6B" w:rsidP="00B53F6B">
      <w:pPr>
        <w:ind w:left="1435" w:right="15" w:hanging="720"/>
      </w:pPr>
      <w:r>
        <w:rPr>
          <w:lang w:val="sl"/>
        </w:rPr>
        <w:t xml:space="preserve">2,16 </w:t>
      </w:r>
      <w:r>
        <w:rPr>
          <w:lang w:val="sl"/>
        </w:rPr>
        <w:tab/>
        <w:t xml:space="preserve">član lahko razkrije informacije brez soglasja svoje stranke, če obstaja izrecna pravna ali poklicna pravica ali dolžnost razkritja.  </w:t>
      </w:r>
    </w:p>
    <w:p w14:paraId="34D4BD3F" w14:textId="77777777" w:rsidR="00B53F6B" w:rsidRDefault="00B53F6B" w:rsidP="00B53F6B">
      <w:pPr>
        <w:spacing w:after="0" w:line="259" w:lineRule="auto"/>
        <w:ind w:left="720" w:firstLine="0"/>
      </w:pPr>
      <w:r>
        <w:t xml:space="preserve"> </w:t>
      </w:r>
    </w:p>
    <w:p w14:paraId="606CE197" w14:textId="77777777" w:rsidR="00B53F6B" w:rsidRDefault="00B53F6B" w:rsidP="00B53F6B">
      <w:pPr>
        <w:ind w:left="1434" w:right="15" w:hanging="719"/>
      </w:pPr>
      <w:r>
        <w:rPr>
          <w:lang w:val="sl"/>
        </w:rPr>
        <w:t xml:space="preserve">2,17 </w:t>
      </w:r>
      <w:r>
        <w:rPr>
          <w:lang w:val="sl"/>
        </w:rPr>
        <w:tab/>
        <w:t xml:space="preserve">dolžnost zaupnosti strogo varuje sodišče.  Razkritje zaupnih gradiv v lastnem interesu člana je treba opraviti le, če se šteje za primerno, ustrezno in razumno potrebno za izvajanje sodnega varstva-z drugimi besedami, če član meni, da bi drugače oslabilo  uresničevanje njihovih legitimnih interesov in pravic, če jim ne bi bilo treba razkriti informacij v vseh okoliščinah.  Razkriti je mogoče le minimalno količino informacij, ki so potrebne za zaščito teh interesov.  </w:t>
      </w:r>
    </w:p>
    <w:p w14:paraId="4C17578A" w14:textId="77777777" w:rsidR="00B53F6B" w:rsidRDefault="00B53F6B" w:rsidP="00B53F6B">
      <w:pPr>
        <w:spacing w:after="0" w:line="259" w:lineRule="auto"/>
        <w:ind w:left="720" w:firstLine="0"/>
      </w:pPr>
      <w:r>
        <w:t xml:space="preserve"> </w:t>
      </w:r>
    </w:p>
    <w:p w14:paraId="36862260" w14:textId="77777777" w:rsidR="00B53F6B" w:rsidRDefault="00B53F6B" w:rsidP="00B53F6B">
      <w:pPr>
        <w:tabs>
          <w:tab w:val="center" w:pos="720"/>
          <w:tab w:val="center" w:pos="5058"/>
        </w:tabs>
        <w:ind w:left="0" w:firstLine="0"/>
      </w:pPr>
      <w:r>
        <w:rPr>
          <w:sz w:val="22"/>
          <w:lang w:val="sl"/>
        </w:rPr>
        <w:tab/>
      </w:r>
      <w:r>
        <w:rPr>
          <w:lang w:val="sl"/>
        </w:rPr>
        <w:tab/>
        <w:t>Primeri takšnih okoliščin lahko vključujejo, vendar niso omejeni na naslednje:</w:t>
      </w:r>
    </w:p>
    <w:p w14:paraId="52E17D2A" w14:textId="77777777" w:rsidR="00B53F6B" w:rsidRDefault="00B53F6B" w:rsidP="00B53F6B">
      <w:pPr>
        <w:spacing w:after="13" w:line="259" w:lineRule="auto"/>
        <w:ind w:left="720" w:firstLine="0"/>
      </w:pPr>
      <w:r>
        <w:t xml:space="preserve"> </w:t>
      </w:r>
    </w:p>
    <w:p w14:paraId="2F8B8841" w14:textId="77777777" w:rsidR="00B53F6B" w:rsidRDefault="00B53F6B" w:rsidP="00B53F6B">
      <w:pPr>
        <w:numPr>
          <w:ilvl w:val="0"/>
          <w:numId w:val="6"/>
        </w:numPr>
        <w:ind w:right="15" w:hanging="360"/>
      </w:pPr>
      <w:r>
        <w:rPr>
          <w:lang w:val="sl"/>
        </w:rPr>
        <w:t>Da se članu omogoči, da se brani pred kazensko obtožbo ali da se razjasni sum;</w:t>
      </w:r>
    </w:p>
    <w:p w14:paraId="16F6F0D8" w14:textId="77777777" w:rsidR="00B53F6B" w:rsidRDefault="00B53F6B" w:rsidP="00B53F6B">
      <w:pPr>
        <w:numPr>
          <w:ilvl w:val="0"/>
          <w:numId w:val="6"/>
        </w:numPr>
        <w:ind w:right="15" w:hanging="360"/>
      </w:pPr>
      <w:r>
        <w:rPr>
          <w:lang w:val="sl"/>
        </w:rPr>
        <w:t>Omogočiti članu, da se brani v disciplinskem postopku;</w:t>
      </w:r>
    </w:p>
    <w:p w14:paraId="1A825009" w14:textId="77777777" w:rsidR="00B53F6B" w:rsidRDefault="00B53F6B" w:rsidP="00B53F6B">
      <w:pPr>
        <w:numPr>
          <w:ilvl w:val="0"/>
          <w:numId w:val="6"/>
        </w:numPr>
        <w:ind w:right="15" w:hanging="360"/>
      </w:pPr>
      <w:r>
        <w:rPr>
          <w:lang w:val="sl"/>
        </w:rPr>
        <w:t>Da bi se uprli postopku kaznovanja ali civilnega ali kazenskega postopka v zvezi z davčnim prekrškom, na primer v primeru, ko se predlaga, da se član zavestno ukvarja z nepoštenim ravnanjem zaradi izgube davčnih prihodkov;</w:t>
      </w:r>
    </w:p>
    <w:p w14:paraId="14451A47" w14:textId="77777777" w:rsidR="00B53F6B" w:rsidRDefault="00B53F6B" w:rsidP="00B53F6B">
      <w:pPr>
        <w:numPr>
          <w:ilvl w:val="0"/>
          <w:numId w:val="6"/>
        </w:numPr>
        <w:ind w:right="15" w:hanging="360"/>
      </w:pPr>
      <w:r>
        <w:rPr>
          <w:lang w:val="sl"/>
        </w:rPr>
        <w:t>Da bi se uprli pravni tožbi, ki jo zoper njih vloži stranka ali tretja oseba;</w:t>
      </w:r>
    </w:p>
    <w:p w14:paraId="3A0DC154" w14:textId="77777777" w:rsidR="00B53F6B" w:rsidRDefault="00B53F6B" w:rsidP="00B53F6B">
      <w:pPr>
        <w:numPr>
          <w:ilvl w:val="0"/>
          <w:numId w:val="6"/>
        </w:numPr>
        <w:ind w:right="15" w:hanging="360"/>
      </w:pPr>
      <w:r>
        <w:rPr>
          <w:lang w:val="sl"/>
        </w:rPr>
        <w:t>Omogočiti članu, da toži za neplačane pristojbine;</w:t>
      </w:r>
    </w:p>
    <w:p w14:paraId="3CBE7B73" w14:textId="77777777" w:rsidR="00B53F6B" w:rsidRDefault="00B53F6B" w:rsidP="00B53F6B">
      <w:pPr>
        <w:numPr>
          <w:ilvl w:val="0"/>
          <w:numId w:val="6"/>
        </w:numPr>
        <w:ind w:right="15" w:hanging="360"/>
      </w:pPr>
      <w:r>
        <w:rPr>
          <w:lang w:val="sl"/>
        </w:rPr>
        <w:lastRenderedPageBreak/>
        <w:t>Omogočiti članu, da toži za obrekovanje.</w:t>
      </w:r>
    </w:p>
    <w:p w14:paraId="7292ACA3" w14:textId="77777777" w:rsidR="00B53F6B" w:rsidRDefault="00B53F6B" w:rsidP="00B53F6B">
      <w:pPr>
        <w:spacing w:after="0" w:line="259" w:lineRule="auto"/>
        <w:ind w:left="719" w:firstLine="0"/>
      </w:pPr>
      <w:r>
        <w:t xml:space="preserve"> </w:t>
      </w:r>
    </w:p>
    <w:p w14:paraId="7FF5DC73" w14:textId="77777777" w:rsidR="00B53F6B" w:rsidRDefault="00B53F6B" w:rsidP="00B53F6B">
      <w:pPr>
        <w:numPr>
          <w:ilvl w:val="1"/>
          <w:numId w:val="7"/>
        </w:numPr>
        <w:ind w:right="15" w:hanging="720"/>
      </w:pPr>
      <w:r>
        <w:rPr>
          <w:lang w:val="sl"/>
        </w:rPr>
        <w:t xml:space="preserve">Če obstaja dvom, da bi se okoliščine v 2,17 uporabljale, ali pa obstaja nevarnost, da bi stranka ali delodajalec izzval izpodbijanje, se članu zelo priporoča, da poišče pravni nasvet.  Glej tudi smernice o </w:t>
      </w:r>
      <w:hyperlink r:id="rId16">
        <w:r>
          <w:rPr>
            <w:color w:val="0070C0"/>
            <w:u w:val="single" w:color="0070C0"/>
            <w:lang w:val="sl"/>
          </w:rPr>
          <w:t>obravnavanju</w:t>
        </w:r>
      </w:hyperlink>
      <w:r>
        <w:rPr>
          <w:lang w:val="sl"/>
        </w:rPr>
        <w:t xml:space="preserve"> </w:t>
      </w:r>
      <w:hyperlink r:id="rId17"/>
      <w:hyperlink r:id="rId18">
        <w:r>
          <w:rPr>
            <w:color w:val="0070C0"/>
            <w:u w:val="single" w:color="0070C0"/>
            <w:lang w:val="sl"/>
          </w:rPr>
          <w:t xml:space="preserve"> napak</w:t>
        </w:r>
      </w:hyperlink>
      <w:hyperlink r:id="rId19">
        <w:r>
          <w:rPr>
            <w:lang w:val="sl"/>
          </w:rPr>
          <w:t>.</w:t>
        </w:r>
      </w:hyperlink>
    </w:p>
    <w:p w14:paraId="16173612" w14:textId="77777777" w:rsidR="00B53F6B" w:rsidRDefault="00B53F6B" w:rsidP="00B53F6B">
      <w:pPr>
        <w:spacing w:after="0" w:line="259" w:lineRule="auto"/>
        <w:ind w:left="720" w:firstLine="0"/>
      </w:pPr>
      <w:r>
        <w:t xml:space="preserve"> </w:t>
      </w:r>
    </w:p>
    <w:p w14:paraId="1382019F" w14:textId="77777777" w:rsidR="00B53F6B" w:rsidRDefault="00B53F6B" w:rsidP="00B53F6B">
      <w:pPr>
        <w:numPr>
          <w:ilvl w:val="1"/>
          <w:numId w:val="7"/>
        </w:numPr>
        <w:ind w:right="15" w:hanging="720"/>
      </w:pPr>
      <w:r>
        <w:rPr>
          <w:lang w:val="sl"/>
        </w:rPr>
        <w:t>Režim za preprečevanje pranja denarja določa zakonsko določeno kodo za določitev, kdaj je treba razkritje opraviti pristojnemu nacionalnemu organu.   Čeprav je to obvezen režim, je tudi struktura za presojo javnega interesa v davčnem kontekstu, vključno s tem, kar bi moralo imeti prednost v določenem sklopu  okoliščin:</w:t>
      </w:r>
    </w:p>
    <w:p w14:paraId="7D84E343" w14:textId="77777777" w:rsidR="00B53F6B" w:rsidRDefault="00B53F6B" w:rsidP="00B53F6B">
      <w:pPr>
        <w:spacing w:after="11" w:line="259" w:lineRule="auto"/>
        <w:ind w:left="720" w:firstLine="0"/>
      </w:pPr>
      <w:r>
        <w:t xml:space="preserve"> </w:t>
      </w:r>
    </w:p>
    <w:p w14:paraId="6E0F6B83" w14:textId="77777777" w:rsidR="00B53F6B" w:rsidRDefault="00B53F6B" w:rsidP="00B53F6B">
      <w:pPr>
        <w:numPr>
          <w:ilvl w:val="0"/>
          <w:numId w:val="6"/>
        </w:numPr>
        <w:ind w:right="15" w:hanging="360"/>
      </w:pPr>
      <w:r>
        <w:rPr>
          <w:lang w:val="sl"/>
        </w:rPr>
        <w:t>Javni interes za sporočanje znanja ali suma kriminalne dejavnosti organom; Ali</w:t>
      </w:r>
    </w:p>
    <w:p w14:paraId="609C6943" w14:textId="77777777" w:rsidR="00B53F6B" w:rsidRDefault="00B53F6B" w:rsidP="00B53F6B">
      <w:pPr>
        <w:numPr>
          <w:ilvl w:val="0"/>
          <w:numId w:val="6"/>
        </w:numPr>
        <w:ind w:right="15" w:hanging="360"/>
      </w:pPr>
      <w:r>
        <w:rPr>
          <w:lang w:val="sl"/>
        </w:rPr>
        <w:t>Javni interes za stranke, ki prejemajo nasvete v zaupanju.</w:t>
      </w:r>
    </w:p>
    <w:p w14:paraId="6B7F2619" w14:textId="77777777" w:rsidR="00B53F6B" w:rsidRDefault="00B53F6B" w:rsidP="00B53F6B">
      <w:pPr>
        <w:spacing w:after="0" w:line="259" w:lineRule="auto"/>
        <w:ind w:left="720" w:firstLine="0"/>
      </w:pPr>
      <w:r>
        <w:t xml:space="preserve"> </w:t>
      </w:r>
    </w:p>
    <w:p w14:paraId="07E58977" w14:textId="77777777" w:rsidR="00B53F6B" w:rsidRDefault="00B53F6B" w:rsidP="00B53F6B">
      <w:pPr>
        <w:ind w:left="1435" w:right="15" w:hanging="720"/>
      </w:pPr>
      <w:r>
        <w:rPr>
          <w:lang w:val="sl"/>
        </w:rPr>
        <w:t xml:space="preserve">2,20 </w:t>
      </w:r>
      <w:r>
        <w:rPr>
          <w:lang w:val="sl"/>
        </w:rPr>
        <w:tab/>
        <w:t xml:space="preserve">član bi moral slediti  </w:t>
      </w:r>
      <w:hyperlink r:id="rId20">
        <w:r>
          <w:rPr>
            <w:color w:val="0070C0"/>
            <w:u w:val="single" w:color="0070C0"/>
            <w:lang w:val="sl"/>
          </w:rPr>
          <w:t xml:space="preserve">smernicam, odobrenim v zvezi s </w:t>
        </w:r>
        <w:proofErr w:type="spellStart"/>
        <w:r>
          <w:rPr>
            <w:color w:val="0070C0"/>
            <w:u w:val="single" w:color="0070C0"/>
            <w:lang w:val="sl"/>
          </w:rPr>
          <w:t>ccab</w:t>
        </w:r>
        <w:proofErr w:type="spellEnd"/>
      </w:hyperlink>
      <w:r>
        <w:rPr>
          <w:lang w:val="sl"/>
        </w:rPr>
        <w:t xml:space="preserve"> </w:t>
      </w:r>
      <w:hyperlink r:id="rId21"/>
      <w:r>
        <w:rPr>
          <w:lang w:val="sl"/>
        </w:rPr>
        <w:t xml:space="preserve"> in  </w:t>
      </w:r>
      <w:hyperlink r:id="rId22">
        <w:r>
          <w:rPr>
            <w:color w:val="0070C0"/>
            <w:u w:val="single" w:color="0070C0"/>
            <w:lang w:val="sl"/>
          </w:rPr>
          <w:t>zakladnico, odobrenim za</w:t>
        </w:r>
      </w:hyperlink>
      <w:r>
        <w:rPr>
          <w:lang w:val="sl"/>
        </w:rPr>
        <w:t xml:space="preserve"> </w:t>
      </w:r>
      <w:hyperlink r:id="rId23"/>
      <w:hyperlink r:id="rId24">
        <w:r>
          <w:rPr>
            <w:color w:val="0070C0"/>
            <w:u w:val="single" w:color="0070C0"/>
            <w:lang w:val="sl"/>
          </w:rPr>
          <w:t xml:space="preserve"> davčne izvajalce</w:t>
        </w:r>
      </w:hyperlink>
      <w:hyperlink r:id="rId25">
        <w:r>
          <w:rPr>
            <w:lang w:val="sl"/>
          </w:rPr>
          <w:t>,</w:t>
        </w:r>
      </w:hyperlink>
      <w:r>
        <w:rPr>
          <w:lang w:val="sl"/>
        </w:rPr>
        <w:t xml:space="preserve">  zlasti smernicami o "notranjem poročanju", "vlogi poročila </w:t>
      </w:r>
      <w:proofErr w:type="spellStart"/>
      <w:r>
        <w:rPr>
          <w:lang w:val="sl"/>
        </w:rPr>
        <w:t>mlro</w:t>
      </w:r>
      <w:proofErr w:type="spellEnd"/>
      <w:r>
        <w:rPr>
          <w:lang w:val="sl"/>
        </w:rPr>
        <w:t xml:space="preserve"> in SAR".  Glej tudi list pomoči pri  </w:t>
      </w:r>
      <w:hyperlink r:id="rId26">
        <w:r>
          <w:rPr>
            <w:color w:val="0070C0"/>
            <w:u w:val="single" w:color="0070C0"/>
            <w:lang w:val="sl"/>
          </w:rPr>
          <w:t>dostopu do podatkov s strani HMRC</w:t>
        </w:r>
      </w:hyperlink>
      <w:hyperlink r:id="rId27">
        <w:r>
          <w:rPr>
            <w:color w:val="0070C0"/>
            <w:u w:val="single" w:color="0070C0"/>
            <w:lang w:val="sl"/>
          </w:rPr>
          <w:t>.</w:t>
        </w:r>
      </w:hyperlink>
    </w:p>
    <w:p w14:paraId="0BD761CA" w14:textId="77777777" w:rsidR="00B53F6B" w:rsidRDefault="00B53F6B" w:rsidP="00B53F6B">
      <w:pPr>
        <w:pStyle w:val="Heading2"/>
        <w:ind w:left="715"/>
      </w:pPr>
      <w:r>
        <w:rPr>
          <w:lang w:val="sl"/>
        </w:rPr>
        <w:t>Poklicno vedenje</w:t>
      </w:r>
    </w:p>
    <w:p w14:paraId="60CF47C4" w14:textId="77777777" w:rsidR="00B53F6B" w:rsidRDefault="00B53F6B" w:rsidP="00B53F6B">
      <w:pPr>
        <w:spacing w:after="0" w:line="259" w:lineRule="auto"/>
        <w:ind w:left="710" w:firstLine="0"/>
      </w:pPr>
      <w:r>
        <w:t xml:space="preserve"> </w:t>
      </w:r>
    </w:p>
    <w:p w14:paraId="0B010BB0" w14:textId="77777777" w:rsidR="00B53F6B" w:rsidRDefault="00B53F6B" w:rsidP="00B53F6B">
      <w:pPr>
        <w:tabs>
          <w:tab w:val="center" w:pos="905"/>
          <w:tab w:val="center" w:pos="5870"/>
        </w:tabs>
        <w:ind w:left="0" w:firstLine="0"/>
      </w:pPr>
      <w:r>
        <w:rPr>
          <w:sz w:val="22"/>
          <w:lang w:val="sl"/>
        </w:rPr>
        <w:tab/>
      </w:r>
      <w:r>
        <w:rPr>
          <w:lang w:val="sl"/>
        </w:rPr>
        <w:t xml:space="preserve">2,21 </w:t>
      </w:r>
      <w:r>
        <w:rPr>
          <w:lang w:val="sl"/>
        </w:rPr>
        <w:tab/>
        <w:t xml:space="preserve">član mora vedno delovati na način, ki jih ne bo prinesel ali njihovo poklicno telo v </w:t>
      </w:r>
      <w:proofErr w:type="spellStart"/>
      <w:r>
        <w:rPr>
          <w:lang w:val="sl"/>
        </w:rPr>
        <w:t>disrepute</w:t>
      </w:r>
      <w:proofErr w:type="spellEnd"/>
      <w:r>
        <w:rPr>
          <w:lang w:val="sl"/>
        </w:rPr>
        <w:t>.</w:t>
      </w:r>
    </w:p>
    <w:p w14:paraId="422A1E7A" w14:textId="77777777" w:rsidR="00B53F6B" w:rsidRDefault="00B53F6B" w:rsidP="00B53F6B">
      <w:pPr>
        <w:spacing w:after="0" w:line="259" w:lineRule="auto"/>
        <w:ind w:left="710" w:firstLine="0"/>
      </w:pPr>
      <w:r>
        <w:t xml:space="preserve"> </w:t>
      </w:r>
    </w:p>
    <w:p w14:paraId="64E0095B" w14:textId="77777777" w:rsidR="00B53F6B" w:rsidRDefault="00B53F6B" w:rsidP="00B53F6B">
      <w:pPr>
        <w:ind w:left="1435" w:right="15" w:hanging="720"/>
      </w:pPr>
      <w:r>
        <w:rPr>
          <w:lang w:val="sl"/>
        </w:rPr>
        <w:t xml:space="preserve">2,22 </w:t>
      </w:r>
      <w:r>
        <w:rPr>
          <w:lang w:val="sl"/>
        </w:rPr>
        <w:tab/>
        <w:t>član mora ravnati z vljudnostjo in obravnavo za vse, s katerimi pridejo v stik s poklicno zmogljivostjo.</w:t>
      </w:r>
    </w:p>
    <w:p w14:paraId="01D3DC80" w14:textId="77777777" w:rsidR="00B53F6B" w:rsidRDefault="00B53F6B" w:rsidP="00B53F6B">
      <w:pPr>
        <w:spacing w:after="0" w:line="259" w:lineRule="auto"/>
        <w:ind w:left="720" w:firstLine="0"/>
      </w:pPr>
      <w:r>
        <w:t xml:space="preserve"> </w:t>
      </w:r>
    </w:p>
    <w:p w14:paraId="37BED851" w14:textId="77777777" w:rsidR="00B53F6B" w:rsidRDefault="00B53F6B" w:rsidP="00B53F6B">
      <w:pPr>
        <w:ind w:left="1435" w:right="15" w:hanging="720"/>
      </w:pPr>
      <w:r>
        <w:rPr>
          <w:lang w:val="sl"/>
        </w:rPr>
        <w:t xml:space="preserve">2,23 </w:t>
      </w:r>
      <w:r>
        <w:rPr>
          <w:lang w:val="sl"/>
        </w:rPr>
        <w:tab/>
        <w:t xml:space="preserve">član mora spoštovati vse ustrezne pravne in regulativne obveznosti pri obravnavanju davčnih zadev stranke in pomagati svojim strankam, da storijo enako.  Član, ki ima razlog za domnevo, da je predlagana ureditev ali bi lahko bila davčna utaja, mora strankam močno svetovati, naj jih ne  vstopijo  .  Če se stranka odloči prezreti ta nasvet, je težko predvideti položaje, v katerih bi bilo primerno, da član še naprej deluje drugače kot pri popravljanja zadev stranke. </w:t>
      </w:r>
    </w:p>
    <w:p w14:paraId="2F7D6FA6" w14:textId="77777777" w:rsidR="00B53F6B" w:rsidRDefault="00B53F6B" w:rsidP="00B53F6B">
      <w:pPr>
        <w:spacing w:after="0" w:line="259" w:lineRule="auto"/>
        <w:ind w:left="719" w:firstLine="0"/>
      </w:pPr>
      <w:r>
        <w:t xml:space="preserve"> </w:t>
      </w:r>
    </w:p>
    <w:p w14:paraId="7A310413" w14:textId="77777777" w:rsidR="00B53F6B" w:rsidRDefault="00B53F6B" w:rsidP="00B53F6B">
      <w:pPr>
        <w:ind w:left="1435" w:right="15" w:hanging="720"/>
      </w:pPr>
      <w:r>
        <w:rPr>
          <w:lang w:val="sl"/>
        </w:rPr>
        <w:t xml:space="preserve">2,24 </w:t>
      </w:r>
      <w:r>
        <w:rPr>
          <w:lang w:val="sl"/>
        </w:rPr>
        <w:tab/>
        <w:t xml:space="preserve">, ki služijo interesom svojih strank, bo občasno pripeljal člana v nestrinjanje ali konflikt z HMRC.  Član bi moral takšne spore ali spore upravljati na odprt, konstruktiven in profesionalen način.  Vendar pa bi moral član svojim strankam služiti kot robusten kot okoliščine, ki jih upravičujejo ob uporabi teh načel. </w:t>
      </w:r>
    </w:p>
    <w:p w14:paraId="457645C3" w14:textId="77777777" w:rsidR="00B53F6B" w:rsidRDefault="00B53F6B" w:rsidP="00B53F6B">
      <w:pPr>
        <w:spacing w:after="0" w:line="259" w:lineRule="auto"/>
        <w:ind w:left="719" w:firstLine="0"/>
      </w:pPr>
      <w:r>
        <w:t xml:space="preserve"> </w:t>
      </w:r>
    </w:p>
    <w:p w14:paraId="655F233A" w14:textId="77777777" w:rsidR="00B53F6B" w:rsidRDefault="00B53F6B" w:rsidP="00B53F6B">
      <w:pPr>
        <w:ind w:left="1435" w:right="15" w:hanging="720"/>
      </w:pPr>
      <w:r>
        <w:rPr>
          <w:lang w:val="sl"/>
        </w:rPr>
        <w:t xml:space="preserve">2,25 </w:t>
      </w:r>
      <w:r>
        <w:rPr>
          <w:lang w:val="sl"/>
        </w:rPr>
        <w:tab/>
        <w:t xml:space="preserve">članica bi morala preučiti, ali bi lahko katera koli davčna ureditev, s katero bi se lahko povezali v svojem imenu ali v imenu stranke, pripeljala člana in  poklic v </w:t>
      </w:r>
      <w:proofErr w:type="spellStart"/>
      <w:r>
        <w:rPr>
          <w:lang w:val="sl"/>
        </w:rPr>
        <w:t>disrepute</w:t>
      </w:r>
      <w:proofErr w:type="spellEnd"/>
      <w:r>
        <w:rPr>
          <w:lang w:val="sl"/>
        </w:rPr>
        <w:t xml:space="preserve">.  V zvezi s tem se člani napotijo na standarde za davčno načrtovanje, določene v odstavku 3,2 spodaj (glej tudi list pomoči o  </w:t>
      </w:r>
      <w:hyperlink r:id="rId28">
        <w:r>
          <w:rPr>
            <w:color w:val="0070C0"/>
            <w:u w:val="single" w:color="0070C0"/>
            <w:lang w:val="sl"/>
          </w:rPr>
          <w:t>davčnem svetovanju</w:t>
        </w:r>
      </w:hyperlink>
      <w:r>
        <w:rPr>
          <w:lang w:val="sl"/>
        </w:rPr>
        <w:t xml:space="preserve"> </w:t>
      </w:r>
      <w:hyperlink r:id="rId29"/>
      <w:r>
        <w:rPr>
          <w:lang w:val="sl"/>
        </w:rPr>
        <w:t xml:space="preserve"> za več podrobnosti). </w:t>
      </w:r>
    </w:p>
    <w:p w14:paraId="0DD75CAA" w14:textId="77777777" w:rsidR="00B53F6B" w:rsidRDefault="00B53F6B" w:rsidP="00B53F6B">
      <w:pPr>
        <w:spacing w:after="0" w:line="259" w:lineRule="auto"/>
        <w:ind w:left="720" w:firstLine="0"/>
      </w:pPr>
      <w:r>
        <w:t xml:space="preserve"> </w:t>
      </w:r>
    </w:p>
    <w:p w14:paraId="1A0A8B26" w14:textId="77777777" w:rsidR="00B53F6B" w:rsidRDefault="00B53F6B" w:rsidP="00B53F6B">
      <w:pPr>
        <w:ind w:left="1435" w:right="15" w:hanging="720"/>
      </w:pPr>
      <w:r>
        <w:rPr>
          <w:lang w:val="sl"/>
        </w:rPr>
        <w:t xml:space="preserve">2,26 je </w:t>
      </w:r>
      <w:r>
        <w:rPr>
          <w:lang w:val="sl"/>
        </w:rPr>
        <w:tab/>
        <w:t xml:space="preserve">treba redno posodabljati davčne zadeve člana.  Zanemarjanje lastnih zadev člana bi lahko vzbudilo dvome v HMRC glede standarda strokovnega dela člana in bi jih lahko prineslo ali njihovo poklicno telo v </w:t>
      </w:r>
      <w:proofErr w:type="spellStart"/>
      <w:r>
        <w:rPr>
          <w:lang w:val="sl"/>
        </w:rPr>
        <w:t>disrepute</w:t>
      </w:r>
      <w:proofErr w:type="spellEnd"/>
      <w:r>
        <w:rPr>
          <w:lang w:val="sl"/>
        </w:rPr>
        <w:t xml:space="preserve">.  </w:t>
      </w:r>
    </w:p>
    <w:p w14:paraId="2188FCC9" w14:textId="77777777" w:rsidR="00B53F6B" w:rsidRDefault="00B53F6B" w:rsidP="00B53F6B">
      <w:pPr>
        <w:spacing w:after="0" w:line="259" w:lineRule="auto"/>
        <w:ind w:left="720" w:firstLine="0"/>
      </w:pPr>
      <w:r>
        <w:t xml:space="preserve"> </w:t>
      </w:r>
    </w:p>
    <w:p w14:paraId="1F56658A" w14:textId="77777777" w:rsidR="00B53F6B" w:rsidRDefault="00B53F6B" w:rsidP="00B53F6B">
      <w:pPr>
        <w:ind w:left="1435" w:right="15" w:hanging="720"/>
      </w:pPr>
      <w:r>
        <w:rPr>
          <w:lang w:val="sl"/>
        </w:rPr>
        <w:t xml:space="preserve">2,27 </w:t>
      </w:r>
      <w:r>
        <w:rPr>
          <w:lang w:val="sl"/>
        </w:rPr>
        <w:tab/>
        <w:t>članica mora zagotoviti, da so njihova notranja in zunanja komunikacija, vključno s tistimi, ki uporabljajo socialne medije, skladna z načeli iz teh smernic in  zlasti z zaupnostjo.</w:t>
      </w:r>
    </w:p>
    <w:p w14:paraId="508233A7" w14:textId="77777777" w:rsidR="00B53F6B" w:rsidRDefault="00B53F6B" w:rsidP="00B53F6B">
      <w:pPr>
        <w:spacing w:after="173" w:line="259" w:lineRule="auto"/>
        <w:ind w:left="710" w:firstLine="0"/>
      </w:pPr>
      <w:r>
        <w:t xml:space="preserve"> </w:t>
      </w:r>
    </w:p>
    <w:p w14:paraId="2E046350" w14:textId="77777777" w:rsidR="00B53F6B" w:rsidRDefault="00B53F6B" w:rsidP="00B53F6B">
      <w:pPr>
        <w:pStyle w:val="Heading1"/>
        <w:tabs>
          <w:tab w:val="center" w:pos="766"/>
          <w:tab w:val="center" w:pos="4060"/>
        </w:tabs>
        <w:ind w:left="0" w:firstLine="0"/>
      </w:pPr>
      <w:r>
        <w:rPr>
          <w:b w:val="0"/>
          <w:sz w:val="22"/>
          <w:lang w:val="sl"/>
        </w:rPr>
        <w:tab/>
      </w:r>
      <w:r>
        <w:rPr>
          <w:sz w:val="20"/>
          <w:lang w:val="sl"/>
        </w:rPr>
        <w:t xml:space="preserve">3 </w:t>
      </w:r>
      <w:r>
        <w:rPr>
          <w:sz w:val="20"/>
          <w:lang w:val="sl"/>
        </w:rPr>
        <w:tab/>
      </w:r>
      <w:r>
        <w:rPr>
          <w:lang w:val="sl"/>
        </w:rPr>
        <w:t>standardi za davčno načrtovanje</w:t>
      </w:r>
    </w:p>
    <w:p w14:paraId="7962BF23" w14:textId="77777777" w:rsidR="00B53F6B" w:rsidRDefault="00B53F6B" w:rsidP="00B53F6B">
      <w:pPr>
        <w:spacing w:after="0" w:line="259" w:lineRule="auto"/>
        <w:ind w:left="710" w:firstLine="0"/>
      </w:pPr>
      <w:r>
        <w:t xml:space="preserve"> </w:t>
      </w:r>
    </w:p>
    <w:p w14:paraId="5C4BA211" w14:textId="77777777" w:rsidR="00B53F6B" w:rsidRDefault="00B53F6B" w:rsidP="00B53F6B">
      <w:pPr>
        <w:ind w:left="1435" w:right="15" w:hanging="720"/>
      </w:pPr>
      <w:r>
        <w:rPr>
          <w:lang w:val="sl"/>
        </w:rPr>
        <w:t xml:space="preserve">3,1 da bi </w:t>
      </w:r>
      <w:r>
        <w:rPr>
          <w:lang w:val="sl"/>
        </w:rPr>
        <w:tab/>
        <w:t xml:space="preserve">zaščitili ugled članov, širši poklic in zagotovili, da so interesi javnega interesa izpolnjeni, so organi PCRT razvili dodatne standarde, ki jih morajo člani spoštovati pri svetovanju o davčnem načrtovanju Združenega kraljestva. Te skušajo graditi na </w:t>
      </w:r>
      <w:r>
        <w:rPr>
          <w:lang w:val="sl"/>
        </w:rPr>
        <w:lastRenderedPageBreak/>
        <w:t xml:space="preserve">zgoraj navedenih temeljnih načelih, pri čemer se osredotočajo zlasti na  integriteto, strokovno usposobljenost in obnašanje.  Standardi so dopolnilo in ne nadomestek za pet temeljnih načel.  Ti standardi so bili razviti v posebnem kontekstu Združenega kraljestva, vključno z vlogo parlamenta pri sprejemanju davčne zakonodaje, HMRC pri upravljanju, in sodišč pri izvrševanju, in vloge njihovih decentraliziranih ekvivalentov.   </w:t>
      </w:r>
    </w:p>
    <w:p w14:paraId="5C9545DC" w14:textId="77777777" w:rsidR="00B53F6B" w:rsidRDefault="00B53F6B" w:rsidP="00B53F6B">
      <w:pPr>
        <w:spacing w:after="0" w:line="259" w:lineRule="auto"/>
        <w:ind w:left="720" w:firstLine="0"/>
      </w:pPr>
      <w:r>
        <w:t xml:space="preserve"> </w:t>
      </w:r>
    </w:p>
    <w:p w14:paraId="65A5E109" w14:textId="77777777" w:rsidR="00B53F6B" w:rsidRDefault="00B53F6B" w:rsidP="00B53F6B">
      <w:pPr>
        <w:tabs>
          <w:tab w:val="center" w:pos="849"/>
          <w:tab w:val="center" w:pos="2913"/>
        </w:tabs>
        <w:ind w:left="0" w:firstLine="0"/>
      </w:pPr>
      <w:r>
        <w:rPr>
          <w:sz w:val="22"/>
          <w:lang w:val="sl"/>
        </w:rPr>
        <w:tab/>
      </w:r>
      <w:r>
        <w:rPr>
          <w:lang w:val="sl"/>
        </w:rPr>
        <w:t xml:space="preserve">3,2 </w:t>
      </w:r>
      <w:r>
        <w:rPr>
          <w:lang w:val="sl"/>
        </w:rPr>
        <w:tab/>
        <w:t>standardi so navedeni spodaj:</w:t>
      </w:r>
    </w:p>
    <w:p w14:paraId="27B7077D" w14:textId="77777777" w:rsidR="00B53F6B" w:rsidRDefault="00B53F6B" w:rsidP="00B53F6B">
      <w:pPr>
        <w:spacing w:after="23" w:line="259" w:lineRule="auto"/>
        <w:ind w:left="710" w:firstLine="0"/>
      </w:pPr>
      <w:r>
        <w:t xml:space="preserve"> </w:t>
      </w:r>
    </w:p>
    <w:p w14:paraId="33A70B7F" w14:textId="77777777" w:rsidR="00B53F6B" w:rsidRDefault="00B53F6B" w:rsidP="00B53F6B">
      <w:pPr>
        <w:pStyle w:val="Heading2"/>
        <w:tabs>
          <w:tab w:val="center" w:pos="1488"/>
          <w:tab w:val="center" w:pos="2524"/>
        </w:tabs>
        <w:ind w:left="0" w:firstLine="0"/>
      </w:pPr>
      <w:r>
        <w:rPr>
          <w:b w:val="0"/>
          <w:sz w:val="22"/>
          <w:lang w:val="sl"/>
        </w:rPr>
        <w:tab/>
      </w:r>
      <w:r>
        <w:rPr>
          <w:b w:val="0"/>
          <w:sz w:val="21"/>
          <w:lang w:val="sl"/>
        </w:rPr>
        <w:t>•</w:t>
      </w:r>
      <w:r>
        <w:rPr>
          <w:b w:val="0"/>
          <w:sz w:val="21"/>
          <w:lang w:val="sl"/>
        </w:rPr>
        <w:tab/>
      </w:r>
      <w:r>
        <w:rPr>
          <w:sz w:val="21"/>
          <w:lang w:val="sl"/>
        </w:rPr>
        <w:t xml:space="preserve"> Posebne stranke</w:t>
      </w:r>
    </w:p>
    <w:p w14:paraId="2A70CCBF" w14:textId="77777777" w:rsidR="00B53F6B" w:rsidRDefault="00B53F6B" w:rsidP="00B53F6B">
      <w:pPr>
        <w:spacing w:after="0" w:line="259" w:lineRule="auto"/>
        <w:ind w:left="1440" w:firstLine="0"/>
      </w:pPr>
      <w:r>
        <w:t xml:space="preserve"> </w:t>
      </w:r>
    </w:p>
    <w:p w14:paraId="446B8B69" w14:textId="77777777" w:rsidR="00B53F6B" w:rsidRDefault="00B53F6B" w:rsidP="00B53F6B">
      <w:pPr>
        <w:ind w:left="1449" w:right="15"/>
      </w:pPr>
      <w:r>
        <w:rPr>
          <w:lang w:val="sl"/>
        </w:rPr>
        <w:t xml:space="preserve">Davčno načrtovanje mora biti specifično za dejstva in okoliščine določene stranke  .  Stranke morajo biti </w:t>
      </w:r>
      <w:proofErr w:type="spellStart"/>
      <w:r>
        <w:rPr>
          <w:lang w:val="sl"/>
        </w:rPr>
        <w:t>opozorene</w:t>
      </w:r>
      <w:proofErr w:type="spellEnd"/>
      <w:r>
        <w:rPr>
          <w:lang w:val="sl"/>
        </w:rPr>
        <w:t xml:space="preserve"> na širša tveganja in posledice vseh tečajev ukrepanja. </w:t>
      </w:r>
    </w:p>
    <w:p w14:paraId="6CD014AE" w14:textId="77777777" w:rsidR="00B53F6B" w:rsidRDefault="00B53F6B" w:rsidP="00B53F6B">
      <w:pPr>
        <w:spacing w:after="23" w:line="259" w:lineRule="auto"/>
        <w:ind w:left="1080" w:firstLine="0"/>
      </w:pPr>
      <w:r>
        <w:t xml:space="preserve"> </w:t>
      </w:r>
    </w:p>
    <w:p w14:paraId="05B659BD" w14:textId="77777777" w:rsidR="00B53F6B" w:rsidRDefault="00B53F6B" w:rsidP="00B53F6B">
      <w:pPr>
        <w:pStyle w:val="Heading2"/>
        <w:tabs>
          <w:tab w:val="center" w:pos="1488"/>
          <w:tab w:val="center" w:pos="2133"/>
        </w:tabs>
        <w:ind w:left="0" w:firstLine="0"/>
      </w:pPr>
      <w:r>
        <w:rPr>
          <w:b w:val="0"/>
          <w:sz w:val="22"/>
          <w:lang w:val="sl"/>
        </w:rPr>
        <w:tab/>
      </w:r>
      <w:r>
        <w:rPr>
          <w:b w:val="0"/>
          <w:sz w:val="21"/>
          <w:lang w:val="sl"/>
        </w:rPr>
        <w:t>•</w:t>
      </w:r>
      <w:r>
        <w:rPr>
          <w:b w:val="0"/>
          <w:sz w:val="21"/>
          <w:lang w:val="sl"/>
        </w:rPr>
        <w:tab/>
      </w:r>
      <w:r>
        <w:rPr>
          <w:sz w:val="21"/>
          <w:lang w:val="sl"/>
        </w:rPr>
        <w:t xml:space="preserve"> Zakonita</w:t>
      </w:r>
    </w:p>
    <w:p w14:paraId="3F9D6B52" w14:textId="77777777" w:rsidR="00B53F6B" w:rsidRDefault="00B53F6B" w:rsidP="00B53F6B">
      <w:pPr>
        <w:spacing w:after="0" w:line="259" w:lineRule="auto"/>
        <w:ind w:left="1440" w:firstLine="0"/>
      </w:pPr>
      <w:r>
        <w:t xml:space="preserve"> </w:t>
      </w:r>
    </w:p>
    <w:p w14:paraId="152B0375" w14:textId="77777777" w:rsidR="00B53F6B" w:rsidRDefault="00B53F6B" w:rsidP="00B53F6B">
      <w:pPr>
        <w:ind w:left="1449" w:right="15"/>
      </w:pPr>
      <w:r>
        <w:rPr>
          <w:lang w:val="sl"/>
        </w:rPr>
        <w:t>Vedno morajo člani delovati zakonito in z integriteto in pričakujejo enako od svojih strank. Davčno načrtovanje mora temeljiti na realistični oceni dejstev in verodostojnem pogledu na pravo.  Člani naj opozorijo svoje stranke na to, kje je zakon bistveno negotov, na primer zato, ker je HMRC znano, da sprejme drugačen pogled na pravo.  Članice bi morale razmisliti o nadaljnjih nasvetih, primernih za tveganja in okoliščine posameznega primera, na primer kadar je postopek verjeten.</w:t>
      </w:r>
    </w:p>
    <w:p w14:paraId="2E304ABD" w14:textId="77777777" w:rsidR="00B53F6B" w:rsidRDefault="00B53F6B" w:rsidP="00B53F6B">
      <w:pPr>
        <w:spacing w:after="23" w:line="259" w:lineRule="auto"/>
        <w:ind w:left="720" w:firstLine="0"/>
      </w:pPr>
      <w:r>
        <w:t xml:space="preserve"> </w:t>
      </w:r>
    </w:p>
    <w:p w14:paraId="0DB00716" w14:textId="77777777" w:rsidR="00B53F6B" w:rsidRDefault="00B53F6B" w:rsidP="00B53F6B">
      <w:pPr>
        <w:pStyle w:val="Heading2"/>
        <w:tabs>
          <w:tab w:val="center" w:pos="1488"/>
          <w:tab w:val="center" w:pos="3242"/>
        </w:tabs>
        <w:ind w:left="0" w:firstLine="0"/>
      </w:pPr>
      <w:r>
        <w:rPr>
          <w:b w:val="0"/>
          <w:sz w:val="22"/>
          <w:lang w:val="sl"/>
        </w:rPr>
        <w:tab/>
      </w:r>
      <w:r>
        <w:rPr>
          <w:b w:val="0"/>
          <w:sz w:val="21"/>
          <w:lang w:val="sl"/>
        </w:rPr>
        <w:t>•</w:t>
      </w:r>
      <w:r>
        <w:rPr>
          <w:b w:val="0"/>
          <w:sz w:val="21"/>
          <w:lang w:val="sl"/>
        </w:rPr>
        <w:tab/>
      </w:r>
      <w:r>
        <w:rPr>
          <w:sz w:val="21"/>
          <w:lang w:val="sl"/>
        </w:rPr>
        <w:t xml:space="preserve"> Razkritje in preglednost</w:t>
      </w:r>
    </w:p>
    <w:p w14:paraId="350C82FA" w14:textId="77777777" w:rsidR="00B53F6B" w:rsidRDefault="00B53F6B" w:rsidP="00B53F6B">
      <w:pPr>
        <w:spacing w:after="0" w:line="259" w:lineRule="auto"/>
        <w:ind w:left="1440" w:firstLine="0"/>
      </w:pPr>
      <w:r>
        <w:t xml:space="preserve"> </w:t>
      </w:r>
    </w:p>
    <w:p w14:paraId="3C097C33" w14:textId="77777777" w:rsidR="00B53F6B" w:rsidRDefault="00B53F6B" w:rsidP="00B53F6B">
      <w:pPr>
        <w:ind w:left="1449" w:right="15"/>
      </w:pPr>
      <w:r>
        <w:rPr>
          <w:lang w:val="sl"/>
        </w:rPr>
        <w:t>Davčna pomoč ne sme temeljiti na učinkovitosti HMRC, ki ima manj kot upoštevna dejstva.  Vsakršno razkritje mora pravično predstavljati vsa pomembna dejstva.</w:t>
      </w:r>
    </w:p>
    <w:p w14:paraId="52EE8007" w14:textId="77777777" w:rsidR="00B53F6B" w:rsidRDefault="00B53F6B" w:rsidP="00B53F6B">
      <w:pPr>
        <w:spacing w:after="0" w:line="259" w:lineRule="auto"/>
        <w:ind w:left="1440" w:firstLine="0"/>
      </w:pPr>
      <w:r>
        <w:t xml:space="preserve"> </w:t>
      </w:r>
    </w:p>
    <w:p w14:paraId="22B25BAB" w14:textId="77777777" w:rsidR="00B53F6B" w:rsidRDefault="00B53F6B" w:rsidP="00B53F6B">
      <w:pPr>
        <w:spacing w:after="0" w:line="259" w:lineRule="auto"/>
        <w:ind w:left="1440" w:firstLine="0"/>
      </w:pPr>
      <w:r>
        <w:t xml:space="preserve"> </w:t>
      </w:r>
    </w:p>
    <w:p w14:paraId="2F7381C5" w14:textId="77777777" w:rsidR="00B53F6B" w:rsidRDefault="00B53F6B" w:rsidP="00B53F6B">
      <w:pPr>
        <w:spacing w:after="0" w:line="259" w:lineRule="auto"/>
        <w:ind w:left="1440" w:firstLine="0"/>
      </w:pPr>
      <w:r>
        <w:t xml:space="preserve"> </w:t>
      </w:r>
    </w:p>
    <w:p w14:paraId="7D462373" w14:textId="77777777" w:rsidR="00B53F6B" w:rsidRDefault="00B53F6B" w:rsidP="00B53F6B">
      <w:pPr>
        <w:spacing w:after="0" w:line="259" w:lineRule="auto"/>
        <w:ind w:left="1440" w:firstLine="0"/>
      </w:pPr>
      <w:r>
        <w:t xml:space="preserve"> </w:t>
      </w:r>
    </w:p>
    <w:p w14:paraId="06CAFE86" w14:textId="77777777" w:rsidR="00B53F6B" w:rsidRDefault="00B53F6B" w:rsidP="00B53F6B">
      <w:pPr>
        <w:pStyle w:val="Heading2"/>
        <w:tabs>
          <w:tab w:val="center" w:pos="1488"/>
          <w:tab w:val="center" w:pos="3771"/>
        </w:tabs>
        <w:ind w:left="0" w:firstLine="0"/>
      </w:pPr>
      <w:r>
        <w:rPr>
          <w:b w:val="0"/>
          <w:sz w:val="22"/>
          <w:lang w:val="sl"/>
        </w:rPr>
        <w:tab/>
      </w:r>
      <w:r>
        <w:rPr>
          <w:b w:val="0"/>
          <w:sz w:val="21"/>
          <w:lang w:val="sl"/>
        </w:rPr>
        <w:t>•</w:t>
      </w:r>
      <w:r>
        <w:rPr>
          <w:b w:val="0"/>
          <w:sz w:val="21"/>
          <w:lang w:val="sl"/>
        </w:rPr>
        <w:tab/>
      </w:r>
      <w:r>
        <w:rPr>
          <w:sz w:val="21"/>
          <w:lang w:val="sl"/>
        </w:rPr>
        <w:t xml:space="preserve"> Svetovanje pri ureditvi davčnega načrtovanja</w:t>
      </w:r>
    </w:p>
    <w:p w14:paraId="34930504" w14:textId="77777777" w:rsidR="00B53F6B" w:rsidRDefault="00B53F6B" w:rsidP="00B53F6B">
      <w:pPr>
        <w:spacing w:after="0" w:line="259" w:lineRule="auto"/>
        <w:ind w:left="1440" w:firstLine="0"/>
      </w:pPr>
      <w:r>
        <w:t xml:space="preserve"> </w:t>
      </w:r>
    </w:p>
    <w:p w14:paraId="073435FC" w14:textId="77777777" w:rsidR="00B53F6B" w:rsidRDefault="00B53F6B" w:rsidP="00B53F6B">
      <w:pPr>
        <w:ind w:left="1449" w:right="15"/>
      </w:pPr>
      <w:r>
        <w:rPr>
          <w:lang w:val="sl"/>
        </w:rPr>
        <w:t xml:space="preserve">Članice ne smejo ustvarjati, spodbujati ali spodbujati dogovorov ali struktur davčnega načrtovanja, ki: i) so določene za doseganje rezultatov, ki so v nasprotju z jasno namero parlamenta, da bo sprejel ustrezno zakonodajo; in/ali II) so zelo umetne ali zelo izmišljene in skušajo izkoristiti pomanjkljivosti v ustrezni zakonodaji. </w:t>
      </w:r>
    </w:p>
    <w:p w14:paraId="7907BB9E" w14:textId="77777777" w:rsidR="00B53F6B" w:rsidRDefault="00B53F6B" w:rsidP="00B53F6B">
      <w:pPr>
        <w:spacing w:after="23" w:line="259" w:lineRule="auto"/>
        <w:ind w:left="1440" w:firstLine="0"/>
      </w:pPr>
      <w:r>
        <w:t xml:space="preserve"> </w:t>
      </w:r>
    </w:p>
    <w:p w14:paraId="38B589A5" w14:textId="77777777" w:rsidR="00B53F6B" w:rsidRDefault="00B53F6B" w:rsidP="00B53F6B">
      <w:pPr>
        <w:pStyle w:val="Heading2"/>
        <w:tabs>
          <w:tab w:val="center" w:pos="1488"/>
          <w:tab w:val="center" w:pos="4594"/>
        </w:tabs>
        <w:ind w:left="0" w:firstLine="0"/>
      </w:pPr>
      <w:r>
        <w:rPr>
          <w:b w:val="0"/>
          <w:sz w:val="22"/>
          <w:lang w:val="sl"/>
        </w:rPr>
        <w:tab/>
      </w:r>
      <w:r>
        <w:rPr>
          <w:b w:val="0"/>
          <w:sz w:val="21"/>
          <w:lang w:val="sl"/>
        </w:rPr>
        <w:t>•</w:t>
      </w:r>
      <w:r>
        <w:rPr>
          <w:b w:val="0"/>
          <w:sz w:val="21"/>
          <w:lang w:val="sl"/>
        </w:rPr>
        <w:tab/>
      </w:r>
      <w:r>
        <w:rPr>
          <w:sz w:val="21"/>
          <w:lang w:val="sl"/>
        </w:rPr>
        <w:t xml:space="preserve"> Strokovna presoja in ustrezna dokumentacija</w:t>
      </w:r>
    </w:p>
    <w:p w14:paraId="276E527D" w14:textId="77777777" w:rsidR="00B53F6B" w:rsidRDefault="00B53F6B" w:rsidP="00B53F6B">
      <w:pPr>
        <w:spacing w:after="0" w:line="259" w:lineRule="auto"/>
        <w:ind w:left="1440" w:firstLine="0"/>
      </w:pPr>
      <w:r>
        <w:t xml:space="preserve"> </w:t>
      </w:r>
    </w:p>
    <w:p w14:paraId="4E5F4D31" w14:textId="77777777" w:rsidR="00B53F6B" w:rsidRDefault="00B53F6B" w:rsidP="00B53F6B">
      <w:pPr>
        <w:ind w:left="1449" w:right="15"/>
      </w:pPr>
      <w:r>
        <w:rPr>
          <w:lang w:val="sl"/>
        </w:rPr>
        <w:t xml:space="preserve">Uporaba teh zahtev za določene stranke  svetovalne situacije zahteva, da člani izvajajo strokovno presojo o številnih zadevah.  Članice morajo pravočasno voditi pojasnila o razlogih za sodbe, ki se izvajajo pri prizadevanjih za upoštevanje teh zahtev. </w:t>
      </w:r>
    </w:p>
    <w:p w14:paraId="39212B17" w14:textId="77777777" w:rsidR="00B53F6B" w:rsidRDefault="00B53F6B" w:rsidP="00B53F6B">
      <w:pPr>
        <w:spacing w:after="0" w:line="259" w:lineRule="auto"/>
        <w:ind w:left="720" w:firstLine="0"/>
      </w:pPr>
      <w:r>
        <w:t xml:space="preserve"> </w:t>
      </w:r>
    </w:p>
    <w:p w14:paraId="487EE679" w14:textId="77777777" w:rsidR="00B53F6B" w:rsidRDefault="00B53F6B" w:rsidP="00B53F6B">
      <w:pPr>
        <w:tabs>
          <w:tab w:val="center" w:pos="720"/>
          <w:tab w:val="center" w:pos="3792"/>
        </w:tabs>
        <w:ind w:left="0" w:firstLine="0"/>
      </w:pPr>
      <w:r>
        <w:rPr>
          <w:sz w:val="22"/>
          <w:lang w:val="sl"/>
        </w:rPr>
        <w:tab/>
      </w:r>
      <w:r>
        <w:rPr>
          <w:lang w:val="sl"/>
        </w:rPr>
        <w:tab/>
        <w:t>Nadaljnja razprava o standardih je določena spodaj.</w:t>
      </w:r>
    </w:p>
    <w:p w14:paraId="475C96FC" w14:textId="77777777" w:rsidR="00B53F6B" w:rsidRDefault="00B53F6B" w:rsidP="00B53F6B">
      <w:pPr>
        <w:spacing w:after="0" w:line="259" w:lineRule="auto"/>
        <w:ind w:left="711" w:firstLine="0"/>
      </w:pPr>
      <w:r>
        <w:t xml:space="preserve"> </w:t>
      </w:r>
    </w:p>
    <w:p w14:paraId="46191205" w14:textId="77777777" w:rsidR="00B53F6B" w:rsidRDefault="00B53F6B" w:rsidP="00B53F6B">
      <w:pPr>
        <w:pStyle w:val="Heading2"/>
        <w:ind w:left="715"/>
      </w:pPr>
      <w:r>
        <w:rPr>
          <w:sz w:val="22"/>
          <w:lang w:val="sl"/>
        </w:rPr>
        <w:t>Posebni odjemalec</w:t>
      </w:r>
    </w:p>
    <w:p w14:paraId="4AD526CD" w14:textId="77777777" w:rsidR="00B53F6B" w:rsidRDefault="00B53F6B" w:rsidP="00B53F6B">
      <w:pPr>
        <w:spacing w:after="0" w:line="259" w:lineRule="auto"/>
        <w:ind w:left="720" w:firstLine="0"/>
      </w:pPr>
      <w:r>
        <w:t xml:space="preserve"> </w:t>
      </w:r>
    </w:p>
    <w:p w14:paraId="6E3E7045" w14:textId="77777777" w:rsidR="00B53F6B" w:rsidRDefault="00B53F6B" w:rsidP="00B53F6B">
      <w:pPr>
        <w:ind w:left="1435" w:right="15" w:hanging="720"/>
      </w:pPr>
      <w:r>
        <w:rPr>
          <w:lang w:val="sl"/>
        </w:rPr>
        <w:t xml:space="preserve">3,3 </w:t>
      </w:r>
      <w:r>
        <w:rPr>
          <w:lang w:val="sl"/>
        </w:rPr>
        <w:tab/>
        <w:t xml:space="preserve">tveganja, navedena v tem standardu, so tista, ki jih je mogoče neposredno pripisati načrtovanju in jih lahko razumno predvidi član.  Običajno ne bi bilo dolžnost, da komentira, na primer, komercialno tveganje osnovne transakcije.  Obveznosti člana stranke še naprej ureja zaročni dopis.   </w:t>
      </w:r>
    </w:p>
    <w:p w14:paraId="6C65F330" w14:textId="77777777" w:rsidR="00B53F6B" w:rsidRDefault="00B53F6B" w:rsidP="00B53F6B">
      <w:pPr>
        <w:spacing w:after="0" w:line="259" w:lineRule="auto"/>
        <w:ind w:left="720" w:firstLine="0"/>
      </w:pPr>
      <w:r>
        <w:t xml:space="preserve"> </w:t>
      </w:r>
    </w:p>
    <w:p w14:paraId="1E2F567A" w14:textId="77777777" w:rsidR="00B53F6B" w:rsidRDefault="00B53F6B" w:rsidP="00B53F6B">
      <w:pPr>
        <w:ind w:left="1435" w:right="15" w:hanging="720"/>
      </w:pPr>
      <w:r>
        <w:rPr>
          <w:lang w:val="sl"/>
        </w:rPr>
        <w:lastRenderedPageBreak/>
        <w:t xml:space="preserve">3,4 </w:t>
      </w:r>
      <w:r>
        <w:rPr>
          <w:lang w:val="sl"/>
        </w:rPr>
        <w:tab/>
        <w:t xml:space="preserve">kadar je treba izpostaviti širša tveganja, jim lahko član svetuje ali jih opredeli kot zadeve, na katerih mora stranka poiskati ločene nasvete, odvisno od obsega prakse člana in sodelovanja.  </w:t>
      </w:r>
    </w:p>
    <w:p w14:paraId="1915384D" w14:textId="77777777" w:rsidR="00B53F6B" w:rsidRDefault="00B53F6B" w:rsidP="00B53F6B">
      <w:pPr>
        <w:spacing w:after="28" w:line="259" w:lineRule="auto"/>
        <w:ind w:left="720" w:firstLine="0"/>
      </w:pPr>
      <w:r>
        <w:t xml:space="preserve"> </w:t>
      </w:r>
    </w:p>
    <w:p w14:paraId="5E1D9B5E" w14:textId="77777777" w:rsidR="00B53F6B" w:rsidRDefault="00B53F6B" w:rsidP="00B53F6B">
      <w:pPr>
        <w:ind w:left="724" w:right="15"/>
      </w:pPr>
      <w:r>
        <w:rPr>
          <w:lang w:val="sl"/>
        </w:rPr>
        <w:t xml:space="preserve">3,5 </w:t>
      </w:r>
      <w:r>
        <w:rPr>
          <w:lang w:val="sl"/>
        </w:rPr>
        <w:tab/>
        <w:t>splošna mnenja ali Nasveti, ki ne upoštevajo položaja specifičnih davkoplačevalcev (ali ozko opredeljene skupine davkoplačevalcev, kot je skupina zaposlenih v isti družbi), predstavljajo posebna tveganja.  Člani so upravičeni do razumnih predpostavk pri svetovanju (na primer, če bi bilo razumno na dejstvih domnevati, da je davčni zavezanec (-i) rezident Združenega kraljestva), vendar se predpostavke ne smejo sklicevati na to, da je znano, da so nerealne ali nerazumne. Če je svetovanje generično in/ali odvisno od nekaterih predpostavk, je treba to dejstvo in potrebo po posebnem nasvetih, ki jih je treba sprejeti pred delovanjem, izpostaviti z  zadostnim poudarkom, da se preprečijo nesporazumi, ki nastanejo</w:t>
      </w:r>
      <w:r>
        <w:rPr>
          <w:vertAlign w:val="superscript"/>
          <w:lang w:val="sl"/>
        </w:rPr>
        <w:footnoteReference w:id="1"/>
      </w:r>
      <w:r>
        <w:rPr>
          <w:lang w:val="sl"/>
        </w:rPr>
        <w:t xml:space="preserve">.  Članice bi morale v svojih nasvetih razmisliti o morebitnem vplivu spremembe predpostavk in/ali okoliščin, ki bi lahko zahtevale posebne ali posodobljene nasvete.  </w:t>
      </w:r>
      <w:r>
        <w:rPr>
          <w:b/>
          <w:sz w:val="22"/>
          <w:lang w:val="sl"/>
        </w:rPr>
        <w:t>Zakonite</w:t>
      </w:r>
    </w:p>
    <w:p w14:paraId="30DE443C" w14:textId="77777777" w:rsidR="00B53F6B" w:rsidRDefault="00B53F6B" w:rsidP="00B53F6B">
      <w:pPr>
        <w:spacing w:after="0" w:line="259" w:lineRule="auto"/>
        <w:ind w:left="720" w:firstLine="0"/>
      </w:pPr>
      <w:r>
        <w:t xml:space="preserve"> </w:t>
      </w:r>
    </w:p>
    <w:p w14:paraId="59EC7887" w14:textId="77777777" w:rsidR="00B53F6B" w:rsidRDefault="00B53F6B" w:rsidP="00B53F6B">
      <w:pPr>
        <w:tabs>
          <w:tab w:val="center" w:pos="859"/>
          <w:tab w:val="right" w:pos="11061"/>
        </w:tabs>
        <w:ind w:left="0" w:firstLine="0"/>
      </w:pPr>
      <w:r>
        <w:rPr>
          <w:sz w:val="22"/>
          <w:lang w:val="sl"/>
        </w:rPr>
        <w:tab/>
      </w:r>
      <w:r>
        <w:rPr>
          <w:lang w:val="sl"/>
        </w:rPr>
        <w:t xml:space="preserve">3,6 </w:t>
      </w:r>
      <w:r>
        <w:rPr>
          <w:lang w:val="sl"/>
        </w:rPr>
        <w:tab/>
        <w:t>zahteva, da se strankam svetuje o materialni negotovosti v zakonu (tudi če HMRC sprejme drugačno</w:t>
      </w:r>
    </w:p>
    <w:p w14:paraId="5FD8BEDD" w14:textId="77777777" w:rsidR="00B53F6B" w:rsidRDefault="00B53F6B" w:rsidP="00B53F6B">
      <w:pPr>
        <w:ind w:left="1448" w:right="15"/>
      </w:pPr>
      <w:r>
        <w:rPr>
          <w:lang w:val="sl"/>
        </w:rPr>
        <w:t>se uporablja tudi, če se dejanska verjetnost posredovanja HMRC šteje za nizko.  Stranke je treba povedati, kaj bi bilo razumno, v času posla, da pričakujejo HMRC verjeti uporabo prava, ki se (ob predpostavki, HMRC je bil v celoti oceniti vseh dejstev posla).  Če je verjetni pogled na HMRC negotov ali neznan, bi moral član to dejstvo vključiti v svoj nasvet.</w:t>
      </w:r>
    </w:p>
    <w:p w14:paraId="191F0CBD" w14:textId="77777777" w:rsidR="00B53F6B" w:rsidRDefault="00B53F6B" w:rsidP="00B53F6B">
      <w:pPr>
        <w:spacing w:after="0" w:line="259" w:lineRule="auto"/>
        <w:ind w:left="719" w:firstLine="0"/>
      </w:pPr>
      <w:r>
        <w:t xml:space="preserve"> </w:t>
      </w:r>
    </w:p>
    <w:p w14:paraId="57386A14" w14:textId="77777777" w:rsidR="00B53F6B" w:rsidRDefault="00B53F6B" w:rsidP="00B53F6B">
      <w:pPr>
        <w:ind w:left="1435" w:right="15" w:hanging="720"/>
      </w:pPr>
      <w:r>
        <w:rPr>
          <w:lang w:val="sl"/>
        </w:rPr>
        <w:t xml:space="preserve">3,7 </w:t>
      </w:r>
      <w:r>
        <w:rPr>
          <w:lang w:val="sl"/>
        </w:rPr>
        <w:tab/>
        <w:t xml:space="preserve">dejstvo, da se član s HMRC ne more strinjati o zadevi, sama po sebi ne kaže na obnašanje, ki bi lahko kršilo te standarde.  Član lahko utemeljeno verjame, da je HMRC pogled napačna v zakonu, vendar, če je tako, je treba stranko opozoriti na dejstvo, da HMRC ima drugačen pogled na pravo in bi bilo treba opozoriti na tveganja in verjetne stroške, ki bi lahko nastali, da bi ugotovili morebitne spore.   </w:t>
      </w:r>
    </w:p>
    <w:p w14:paraId="2A4A5CAE" w14:textId="77777777" w:rsidR="00B53F6B" w:rsidRDefault="00B53F6B" w:rsidP="00B53F6B">
      <w:pPr>
        <w:spacing w:after="0" w:line="259" w:lineRule="auto"/>
        <w:ind w:left="719" w:firstLine="0"/>
      </w:pPr>
      <w:r>
        <w:t xml:space="preserve"> </w:t>
      </w:r>
    </w:p>
    <w:p w14:paraId="01D249C5" w14:textId="77777777" w:rsidR="00B53F6B" w:rsidRDefault="00B53F6B" w:rsidP="00B53F6B">
      <w:pPr>
        <w:pStyle w:val="Heading2"/>
        <w:ind w:left="715"/>
      </w:pPr>
      <w:r>
        <w:rPr>
          <w:sz w:val="22"/>
          <w:lang w:val="sl"/>
        </w:rPr>
        <w:t>Razkritje in preglednost</w:t>
      </w:r>
    </w:p>
    <w:p w14:paraId="7B64B3C6" w14:textId="77777777" w:rsidR="00B53F6B" w:rsidRDefault="00B53F6B" w:rsidP="00B53F6B">
      <w:pPr>
        <w:spacing w:after="0" w:line="259" w:lineRule="auto"/>
        <w:ind w:left="720" w:firstLine="0"/>
      </w:pPr>
      <w:r>
        <w:t xml:space="preserve"> </w:t>
      </w:r>
    </w:p>
    <w:p w14:paraId="6151AF63" w14:textId="77777777" w:rsidR="00B53F6B" w:rsidRDefault="00B53F6B" w:rsidP="00B53F6B">
      <w:pPr>
        <w:ind w:left="1435" w:right="15" w:hanging="720"/>
      </w:pPr>
      <w:r>
        <w:rPr>
          <w:lang w:val="sl"/>
        </w:rPr>
        <w:t xml:space="preserve">3,8 </w:t>
      </w:r>
      <w:r>
        <w:rPr>
          <w:lang w:val="sl"/>
        </w:rPr>
        <w:tab/>
        <w:t xml:space="preserve">razkritje je treba, kadar je to zahtevano z zakonom, in popolnejše razkritje je treba priporočiti strankam, kjer je to primerno, glede na širši odnos ali  dialog z HMRC pomembne za to stranko.  Kar je  dejansko treba razkriti, bo neizogibno odražalo strokovno presojo ob upoštevanju vseh upoštevnih dejstev in prava, značilnih za zadevni primer, in o tem, kaj stranka soglaša.  </w:t>
      </w:r>
    </w:p>
    <w:p w14:paraId="15C24E7F" w14:textId="77777777" w:rsidR="00B53F6B" w:rsidRDefault="00B53F6B" w:rsidP="00B53F6B">
      <w:pPr>
        <w:spacing w:after="0" w:line="259" w:lineRule="auto"/>
        <w:ind w:left="720" w:firstLine="0"/>
      </w:pPr>
      <w:r>
        <w:t xml:space="preserve"> </w:t>
      </w:r>
    </w:p>
    <w:p w14:paraId="5A4A1655" w14:textId="77777777" w:rsidR="00B53F6B" w:rsidRDefault="00B53F6B" w:rsidP="00B53F6B">
      <w:pPr>
        <w:spacing w:after="0" w:line="259" w:lineRule="auto"/>
        <w:ind w:left="720" w:firstLine="0"/>
      </w:pPr>
      <w:r>
        <w:t xml:space="preserve"> </w:t>
      </w:r>
    </w:p>
    <w:p w14:paraId="67479D8F" w14:textId="77777777" w:rsidR="00B53F6B" w:rsidRDefault="00B53F6B" w:rsidP="00B53F6B">
      <w:pPr>
        <w:spacing w:after="0" w:line="259" w:lineRule="auto"/>
        <w:ind w:left="720" w:firstLine="0"/>
      </w:pPr>
      <w:r>
        <w:t xml:space="preserve"> </w:t>
      </w:r>
    </w:p>
    <w:p w14:paraId="41745941" w14:textId="77777777" w:rsidR="00B53F6B" w:rsidRDefault="00B53F6B" w:rsidP="00B53F6B">
      <w:pPr>
        <w:spacing w:after="0" w:line="259" w:lineRule="auto"/>
        <w:ind w:left="720" w:firstLine="0"/>
      </w:pPr>
      <w:r>
        <w:t xml:space="preserve"> </w:t>
      </w:r>
    </w:p>
    <w:p w14:paraId="2790F871" w14:textId="77777777" w:rsidR="00B53F6B" w:rsidRDefault="00B53F6B" w:rsidP="00B53F6B">
      <w:pPr>
        <w:spacing w:after="0" w:line="259" w:lineRule="auto"/>
        <w:ind w:left="720" w:firstLine="0"/>
      </w:pPr>
      <w:r>
        <w:t xml:space="preserve"> </w:t>
      </w:r>
    </w:p>
    <w:p w14:paraId="7F97DB1E" w14:textId="77777777" w:rsidR="00B53F6B" w:rsidRDefault="00B53F6B" w:rsidP="00B53F6B">
      <w:pPr>
        <w:pStyle w:val="Heading2"/>
        <w:ind w:left="715"/>
      </w:pPr>
      <w:r>
        <w:rPr>
          <w:sz w:val="22"/>
          <w:lang w:val="sl"/>
        </w:rPr>
        <w:t>Ureditev davčnega načrtovanja</w:t>
      </w:r>
    </w:p>
    <w:p w14:paraId="7FBE0674" w14:textId="77777777" w:rsidR="00B53F6B" w:rsidRDefault="00B53F6B" w:rsidP="00B53F6B">
      <w:pPr>
        <w:spacing w:after="0" w:line="259" w:lineRule="auto"/>
        <w:ind w:left="720" w:firstLine="0"/>
      </w:pPr>
      <w:r>
        <w:t xml:space="preserve"> </w:t>
      </w:r>
    </w:p>
    <w:p w14:paraId="380A9A62" w14:textId="77777777" w:rsidR="00B53F6B" w:rsidRDefault="00B53F6B" w:rsidP="00B53F6B">
      <w:pPr>
        <w:spacing w:after="50"/>
        <w:ind w:left="1435" w:right="1349" w:hanging="720"/>
      </w:pPr>
      <w:r>
        <w:rPr>
          <w:lang w:val="sl"/>
        </w:rPr>
        <w:t xml:space="preserve">3,9 </w:t>
      </w:r>
      <w:r>
        <w:rPr>
          <w:lang w:val="sl"/>
        </w:rPr>
        <w:tab/>
        <w:t>Če ima član resnično in razumno negotovost glede tega, ali  posebno načrtovanje  krši ta standard, mora član:</w:t>
      </w:r>
    </w:p>
    <w:p w14:paraId="09D18064" w14:textId="77777777" w:rsidR="00B53F6B" w:rsidRDefault="00B53F6B" w:rsidP="00B53F6B">
      <w:pPr>
        <w:numPr>
          <w:ilvl w:val="0"/>
          <w:numId w:val="8"/>
        </w:numPr>
        <w:ind w:right="15" w:hanging="360"/>
      </w:pPr>
      <w:r>
        <w:rPr>
          <w:lang w:val="sl"/>
        </w:rPr>
        <w:t>dokumentirati podrobno obrazložitev in dokaze, da bi lahko dokazali, zakaj je menilo, da kakršno koli načrtovanje ni bilo v nasprotju s tem standardom;</w:t>
      </w:r>
    </w:p>
    <w:p w14:paraId="45372730" w14:textId="77777777" w:rsidR="00B53F6B" w:rsidRDefault="00B53F6B" w:rsidP="00B53F6B">
      <w:pPr>
        <w:spacing w:after="13" w:line="259" w:lineRule="auto"/>
        <w:ind w:left="720" w:firstLine="0"/>
      </w:pPr>
      <w:r>
        <w:t xml:space="preserve"> </w:t>
      </w:r>
    </w:p>
    <w:p w14:paraId="6FE73261" w14:textId="77777777" w:rsidR="00B53F6B" w:rsidRDefault="00B53F6B" w:rsidP="00B53F6B">
      <w:pPr>
        <w:numPr>
          <w:ilvl w:val="0"/>
          <w:numId w:val="8"/>
        </w:numPr>
        <w:ind w:right="15" w:hanging="360"/>
      </w:pPr>
      <w:r>
        <w:rPr>
          <w:lang w:val="sl"/>
        </w:rPr>
        <w:t>v svojih odjemalskih nasvetih vključi oceno negotovosti in tveganj, povezanih z načrtovanjem, glej zgoraj navedeno standardno zakonsko; In</w:t>
      </w:r>
    </w:p>
    <w:p w14:paraId="13849A31" w14:textId="77777777" w:rsidR="00B53F6B" w:rsidRDefault="00B53F6B" w:rsidP="00B53F6B">
      <w:pPr>
        <w:spacing w:after="13" w:line="259" w:lineRule="auto"/>
        <w:ind w:left="720" w:firstLine="0"/>
      </w:pPr>
      <w:r>
        <w:t xml:space="preserve"> </w:t>
      </w:r>
    </w:p>
    <w:p w14:paraId="611C1374" w14:textId="77777777" w:rsidR="00B53F6B" w:rsidRDefault="00B53F6B" w:rsidP="00B53F6B">
      <w:pPr>
        <w:numPr>
          <w:ilvl w:val="0"/>
          <w:numId w:val="8"/>
        </w:numPr>
        <w:ind w:right="15" w:hanging="360"/>
      </w:pPr>
      <w:r>
        <w:rPr>
          <w:lang w:val="sl"/>
        </w:rPr>
        <w:t>v svojih odjemalskih nasvetih vključi oceno ustreznih razkritij, ki jih je treba opraviti HMRC, da bi jo lahko, če želi, da bi to storila, storila vse razumne poizvedbe – glej standardno razkritje in preglednost zgoraj.</w:t>
      </w:r>
    </w:p>
    <w:p w14:paraId="0D233830" w14:textId="77777777" w:rsidR="00B53F6B" w:rsidRDefault="00B53F6B" w:rsidP="00B53F6B">
      <w:pPr>
        <w:spacing w:after="0" w:line="259" w:lineRule="auto"/>
        <w:ind w:left="720" w:firstLine="0"/>
      </w:pPr>
      <w:r>
        <w:lastRenderedPageBreak/>
        <w:t xml:space="preserve"> </w:t>
      </w:r>
    </w:p>
    <w:p w14:paraId="1B2F4442" w14:textId="77777777" w:rsidR="00B53F6B" w:rsidRDefault="00B53F6B" w:rsidP="00B53F6B">
      <w:pPr>
        <w:pStyle w:val="Heading2"/>
        <w:ind w:left="715"/>
      </w:pPr>
      <w:r>
        <w:rPr>
          <w:sz w:val="22"/>
          <w:lang w:val="sl"/>
        </w:rPr>
        <w:t>Strokovna presoja in ustrezna dokumentacija</w:t>
      </w:r>
    </w:p>
    <w:p w14:paraId="7F5A6201" w14:textId="77777777" w:rsidR="00B53F6B" w:rsidRDefault="00B53F6B" w:rsidP="00B53F6B">
      <w:pPr>
        <w:spacing w:after="0" w:line="259" w:lineRule="auto"/>
        <w:ind w:left="720" w:firstLine="0"/>
      </w:pPr>
      <w:r>
        <w:t xml:space="preserve"> </w:t>
      </w:r>
    </w:p>
    <w:p w14:paraId="496EABE3" w14:textId="77777777" w:rsidR="00B53F6B" w:rsidRDefault="00B53F6B" w:rsidP="00B53F6B">
      <w:pPr>
        <w:ind w:left="1435" w:right="15" w:hanging="720"/>
      </w:pPr>
      <w:r>
        <w:rPr>
          <w:lang w:val="sl"/>
        </w:rPr>
        <w:t xml:space="preserve">3,10 </w:t>
      </w:r>
      <w:r>
        <w:rPr>
          <w:lang w:val="sl"/>
        </w:rPr>
        <w:tab/>
        <w:t xml:space="preserve">članom ni treba dokončati dokumentov za lastno dobro, vendar morajo biti pripravljeni prepoznati, podpirati in po potrebi braniti sodbe, ki so jih naredili pri uporabi teh zahtev za njihovo delo.  </w:t>
      </w:r>
    </w:p>
    <w:p w14:paraId="35C4F01E" w14:textId="77777777" w:rsidR="00B53F6B" w:rsidRDefault="00B53F6B" w:rsidP="00B53F6B">
      <w:pPr>
        <w:spacing w:after="0" w:line="259" w:lineRule="auto"/>
        <w:ind w:left="720" w:firstLine="0"/>
      </w:pPr>
      <w:r>
        <w:t xml:space="preserve"> </w:t>
      </w:r>
    </w:p>
    <w:p w14:paraId="5F3C81C4" w14:textId="77777777" w:rsidR="00B53F6B" w:rsidRDefault="00B53F6B" w:rsidP="00B53F6B">
      <w:pPr>
        <w:ind w:left="724" w:right="15"/>
      </w:pPr>
      <w:r>
        <w:rPr>
          <w:lang w:val="sl"/>
        </w:rPr>
        <w:t xml:space="preserve">3,11 </w:t>
      </w:r>
      <w:r>
        <w:rPr>
          <w:lang w:val="sl"/>
        </w:rPr>
        <w:tab/>
        <w:t xml:space="preserve">kadar so sodne odločbe razumne, so pravočasne opombe verjetno najbolj prepričljiv način za dokazovanje skladnosti z načeli po dogodku, v korist člana in stranke ter za zadovoljitev vseh širših pomislekov javnosti.  </w:t>
      </w:r>
      <w:r>
        <w:rPr>
          <w:b/>
          <w:color w:val="6F6F6E"/>
          <w:sz w:val="28"/>
          <w:lang w:val="sl"/>
        </w:rPr>
        <w:tab/>
      </w:r>
      <w:r>
        <w:rPr>
          <w:lang w:val="sl"/>
        </w:rPr>
        <w:br w:type="page"/>
      </w:r>
    </w:p>
    <w:p w14:paraId="2F4B385C" w14:textId="77777777" w:rsidR="00B53F6B" w:rsidRDefault="00B53F6B" w:rsidP="00B53F6B">
      <w:pPr>
        <w:pStyle w:val="Heading1"/>
        <w:spacing w:after="126"/>
        <w:ind w:left="726"/>
      </w:pPr>
      <w:r>
        <w:rPr>
          <w:lang w:val="sl"/>
        </w:rPr>
        <w:lastRenderedPageBreak/>
        <w:t>NADALJNJA NAVODILA</w:t>
      </w:r>
    </w:p>
    <w:p w14:paraId="73BDFA6F" w14:textId="77777777" w:rsidR="00B53F6B" w:rsidRDefault="00B53F6B" w:rsidP="00B53F6B">
      <w:pPr>
        <w:spacing w:after="97" w:line="259" w:lineRule="auto"/>
        <w:ind w:left="704" w:firstLine="0"/>
      </w:pPr>
      <w:r>
        <w:t xml:space="preserve"> </w:t>
      </w:r>
    </w:p>
    <w:p w14:paraId="5A3D6C6F" w14:textId="77777777" w:rsidR="00B53F6B" w:rsidRDefault="00B53F6B" w:rsidP="00B53F6B">
      <w:pPr>
        <w:ind w:left="724" w:right="1231"/>
      </w:pPr>
      <w:r>
        <w:rPr>
          <w:lang w:val="sl"/>
        </w:rPr>
        <w:t>Za nadaljnja pojasnila glede uporabe temeljnih načel in standardov za delo člana, ki dela na davčnem področju, si oglejte naslednje liste pomoči:</w:t>
      </w:r>
    </w:p>
    <w:p w14:paraId="0175BEC3" w14:textId="77777777" w:rsidR="00B53F6B" w:rsidRDefault="00B53F6B" w:rsidP="00B53F6B">
      <w:pPr>
        <w:spacing w:after="0" w:line="259" w:lineRule="auto"/>
        <w:ind w:left="703" w:firstLine="0"/>
      </w:pPr>
      <w:r>
        <w:t xml:space="preserve"> </w:t>
      </w:r>
    </w:p>
    <w:p w14:paraId="1D23E98D" w14:textId="77777777" w:rsidR="00B53F6B" w:rsidRDefault="00B53F6B" w:rsidP="00B53F6B">
      <w:pPr>
        <w:spacing w:after="194" w:line="259" w:lineRule="auto"/>
        <w:ind w:left="715" w:hanging="10"/>
      </w:pPr>
      <w:r>
        <w:rPr>
          <w:lang w:val="sl"/>
        </w:rPr>
        <w:t xml:space="preserve">List pomoči </w:t>
      </w:r>
      <w:r>
        <w:rPr>
          <w:b/>
          <w:lang w:val="sl"/>
        </w:rPr>
        <w:t xml:space="preserve">A </w:t>
      </w:r>
      <w:r>
        <w:rPr>
          <w:lang w:val="sl"/>
        </w:rPr>
        <w:t xml:space="preserve"> –  </w:t>
      </w:r>
      <w:hyperlink r:id="rId30">
        <w:r>
          <w:rPr>
            <w:color w:val="0563C1"/>
            <w:u w:val="single" w:color="0563C1"/>
            <w:lang w:val="sl"/>
          </w:rPr>
          <w:t>predložitev davčnih informacij in davčnih prijav</w:t>
        </w:r>
      </w:hyperlink>
      <w:hyperlink r:id="rId31"/>
    </w:p>
    <w:p w14:paraId="05C38E3C" w14:textId="77777777" w:rsidR="00B53F6B" w:rsidRDefault="00B53F6B" w:rsidP="00B53F6B">
      <w:pPr>
        <w:spacing w:after="204"/>
        <w:ind w:left="724" w:right="15"/>
      </w:pPr>
      <w:r>
        <w:rPr>
          <w:lang w:val="sl"/>
        </w:rPr>
        <w:t xml:space="preserve">List pomoči </w:t>
      </w:r>
      <w:r>
        <w:rPr>
          <w:b/>
          <w:lang w:val="sl"/>
        </w:rPr>
        <w:t>B</w:t>
      </w:r>
      <w:r>
        <w:rPr>
          <w:lang w:val="sl"/>
        </w:rPr>
        <w:t xml:space="preserve">  –  </w:t>
      </w:r>
      <w:hyperlink r:id="rId32">
        <w:r>
          <w:rPr>
            <w:color w:val="0563C1"/>
            <w:u w:val="single" w:color="0563C1"/>
            <w:lang w:val="sl"/>
          </w:rPr>
          <w:t>davčno svetovanje</w:t>
        </w:r>
      </w:hyperlink>
      <w:hyperlink r:id="rId33"/>
    </w:p>
    <w:p w14:paraId="3A3441C4" w14:textId="77777777" w:rsidR="00B53F6B" w:rsidRDefault="00B53F6B" w:rsidP="00B53F6B">
      <w:pPr>
        <w:spacing w:after="194" w:line="259" w:lineRule="auto"/>
        <w:ind w:left="715" w:hanging="10"/>
      </w:pPr>
      <w:r>
        <w:rPr>
          <w:lang w:val="sl"/>
        </w:rPr>
        <w:t xml:space="preserve">List pomoči </w:t>
      </w:r>
      <w:r>
        <w:rPr>
          <w:b/>
          <w:lang w:val="sl"/>
        </w:rPr>
        <w:t xml:space="preserve">C </w:t>
      </w:r>
      <w:r>
        <w:rPr>
          <w:lang w:val="sl"/>
        </w:rPr>
        <w:t xml:space="preserve"> –  </w:t>
      </w:r>
      <w:hyperlink r:id="rId34">
        <w:r>
          <w:rPr>
            <w:color w:val="0563C1"/>
            <w:u w:val="single" w:color="0563C1"/>
            <w:lang w:val="sl"/>
          </w:rPr>
          <w:t>obravnavanje napak</w:t>
        </w:r>
      </w:hyperlink>
      <w:hyperlink r:id="rId35"/>
    </w:p>
    <w:p w14:paraId="01CBD39C" w14:textId="77777777" w:rsidR="00B53F6B" w:rsidRDefault="00B53F6B" w:rsidP="00B53F6B">
      <w:pPr>
        <w:spacing w:after="194" w:line="259" w:lineRule="auto"/>
        <w:ind w:left="715" w:hanging="10"/>
      </w:pPr>
      <w:r>
        <w:rPr>
          <w:lang w:val="sl"/>
        </w:rPr>
        <w:t xml:space="preserve">List pomoči </w:t>
      </w:r>
      <w:r>
        <w:rPr>
          <w:b/>
          <w:lang w:val="sl"/>
        </w:rPr>
        <w:t xml:space="preserve">D </w:t>
      </w:r>
      <w:r>
        <w:rPr>
          <w:lang w:val="sl"/>
        </w:rPr>
        <w:t xml:space="preserve"> –  </w:t>
      </w:r>
      <w:hyperlink r:id="rId36">
        <w:r>
          <w:rPr>
            <w:color w:val="0563C1"/>
            <w:u w:val="single" w:color="0563C1"/>
            <w:lang w:val="sl"/>
          </w:rPr>
          <w:t>zahteva po podatkih HMRC</w:t>
        </w:r>
      </w:hyperlink>
      <w:hyperlink r:id="rId37"/>
    </w:p>
    <w:p w14:paraId="1F97122C" w14:textId="116127DF" w:rsidR="00771A17" w:rsidRDefault="00B53F6B" w:rsidP="00B53F6B">
      <w:r>
        <w:rPr>
          <w:lang w:val="sl"/>
        </w:rPr>
        <w:t xml:space="preserve">List pomoči </w:t>
      </w:r>
      <w:r>
        <w:rPr>
          <w:b/>
          <w:lang w:val="sl"/>
        </w:rPr>
        <w:t>E</w:t>
      </w:r>
      <w:r>
        <w:rPr>
          <w:lang w:val="sl"/>
        </w:rPr>
        <w:t xml:space="preserve">  –  </w:t>
      </w:r>
      <w:hyperlink r:id="rId38">
        <w:r>
          <w:rPr>
            <w:color w:val="0563C1"/>
            <w:u w:val="single" w:color="0563C1"/>
            <w:lang w:val="sl"/>
          </w:rPr>
          <w:t>osebne davčne zadeve poslancev</w:t>
        </w:r>
      </w:hyperlink>
    </w:p>
    <w:sectPr w:rsidR="00771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25A3" w14:textId="77777777" w:rsidR="00730A7F" w:rsidRDefault="00730A7F" w:rsidP="00B53F6B">
      <w:pPr>
        <w:spacing w:after="0" w:line="240" w:lineRule="auto"/>
      </w:pPr>
      <w:r>
        <w:rPr>
          <w:lang w:val="sl"/>
        </w:rPr>
        <w:separator/>
      </w:r>
    </w:p>
  </w:endnote>
  <w:endnote w:type="continuationSeparator" w:id="0">
    <w:p w14:paraId="25ACA7CE" w14:textId="77777777" w:rsidR="00730A7F" w:rsidRDefault="00730A7F" w:rsidP="00B53F6B">
      <w:pPr>
        <w:spacing w:after="0"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E534" w14:textId="77777777" w:rsidR="00730A7F" w:rsidRDefault="00730A7F" w:rsidP="00B53F6B">
      <w:pPr>
        <w:spacing w:after="0" w:line="240" w:lineRule="auto"/>
      </w:pPr>
      <w:r>
        <w:rPr>
          <w:lang w:val="sl"/>
        </w:rPr>
        <w:separator/>
      </w:r>
    </w:p>
  </w:footnote>
  <w:footnote w:type="continuationSeparator" w:id="0">
    <w:p w14:paraId="76CA20CE" w14:textId="77777777" w:rsidR="00730A7F" w:rsidRDefault="00730A7F" w:rsidP="00B53F6B">
      <w:pPr>
        <w:spacing w:after="0" w:line="240" w:lineRule="auto"/>
      </w:pPr>
      <w:r>
        <w:rPr>
          <w:lang w:val="sl"/>
        </w:rPr>
        <w:continuationSeparator/>
      </w:r>
    </w:p>
  </w:footnote>
  <w:footnote w:id="1">
    <w:p w14:paraId="252BB901" w14:textId="77777777" w:rsidR="00B53F6B" w:rsidRDefault="00B53F6B" w:rsidP="00B53F6B">
      <w:pPr>
        <w:pStyle w:val="footnotedescription"/>
      </w:pPr>
      <w:r>
        <w:rPr>
          <w:rStyle w:val="footnotemark"/>
          <w:lang w:val="sl"/>
        </w:rPr>
        <w:footnoteRef/>
      </w:r>
      <w:r>
        <w:rPr>
          <w:lang w:val="sl"/>
        </w:rPr>
        <w:t xml:space="preserve"> Pri nekaterih ustrezno usposobljenih članih lahko to na primer vključuje pripravo standardnega besedila za vključitev v pogodbe, oporoke ali druge dokumente.</w:t>
      </w:r>
      <w:r>
        <w:rPr>
          <w:sz w:val="20"/>
          <w:lang w:val="s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B9A"/>
    <w:multiLevelType w:val="hybridMultilevel"/>
    <w:tmpl w:val="DC543BEA"/>
    <w:lvl w:ilvl="0" w:tplc="E2A8FC6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6E2F0A">
      <w:start w:val="1"/>
      <w:numFmt w:val="bullet"/>
      <w:lvlText w:val="o"/>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AC475A">
      <w:start w:val="1"/>
      <w:numFmt w:val="bullet"/>
      <w:lvlText w:val="▪"/>
      <w:lvlJc w:val="left"/>
      <w:pPr>
        <w:ind w:left="2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8AE75C">
      <w:start w:val="1"/>
      <w:numFmt w:val="bullet"/>
      <w:lvlText w:val="•"/>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02976">
      <w:start w:val="1"/>
      <w:numFmt w:val="bullet"/>
      <w:lvlText w:val="o"/>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0A4196">
      <w:start w:val="1"/>
      <w:numFmt w:val="bullet"/>
      <w:lvlText w:val="▪"/>
      <w:lvlJc w:val="left"/>
      <w:pPr>
        <w:ind w:left="4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AC9776">
      <w:start w:val="1"/>
      <w:numFmt w:val="bullet"/>
      <w:lvlText w:val="•"/>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40956">
      <w:start w:val="1"/>
      <w:numFmt w:val="bullet"/>
      <w:lvlText w:val="o"/>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615C6">
      <w:start w:val="1"/>
      <w:numFmt w:val="bullet"/>
      <w:lvlText w:val="▪"/>
      <w:lvlJc w:val="left"/>
      <w:pPr>
        <w:ind w:left="6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DA58D2"/>
    <w:multiLevelType w:val="multilevel"/>
    <w:tmpl w:val="6CC643BA"/>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B22D83"/>
    <w:multiLevelType w:val="hybridMultilevel"/>
    <w:tmpl w:val="91921D30"/>
    <w:lvl w:ilvl="0" w:tplc="05DE71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EB97E">
      <w:start w:val="1"/>
      <w:numFmt w:val="bullet"/>
      <w:lvlText w:val="o"/>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C09964">
      <w:start w:val="1"/>
      <w:numFmt w:val="bullet"/>
      <w:lvlText w:val="▪"/>
      <w:lvlJc w:val="left"/>
      <w:pPr>
        <w:ind w:left="2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6AB460">
      <w:start w:val="1"/>
      <w:numFmt w:val="bullet"/>
      <w:lvlText w:val="•"/>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98081E">
      <w:start w:val="1"/>
      <w:numFmt w:val="bullet"/>
      <w:lvlText w:val="o"/>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F05F3A">
      <w:start w:val="1"/>
      <w:numFmt w:val="bullet"/>
      <w:lvlText w:val="▪"/>
      <w:lvlJc w:val="left"/>
      <w:pPr>
        <w:ind w:left="4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94FD38">
      <w:start w:val="1"/>
      <w:numFmt w:val="bullet"/>
      <w:lvlText w:val="•"/>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88984">
      <w:start w:val="1"/>
      <w:numFmt w:val="bullet"/>
      <w:lvlText w:val="o"/>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FE0E9C">
      <w:start w:val="1"/>
      <w:numFmt w:val="bullet"/>
      <w:lvlText w:val="▪"/>
      <w:lvlJc w:val="left"/>
      <w:pPr>
        <w:ind w:left="68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C10DC5"/>
    <w:multiLevelType w:val="multilevel"/>
    <w:tmpl w:val="E8A0FDE0"/>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E2343C"/>
    <w:multiLevelType w:val="hybridMultilevel"/>
    <w:tmpl w:val="4E2E89EC"/>
    <w:lvl w:ilvl="0" w:tplc="AFE0A1E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DEAF98">
      <w:start w:val="1"/>
      <w:numFmt w:val="bullet"/>
      <w:lvlText w:val="o"/>
      <w:lvlJc w:val="left"/>
      <w:pPr>
        <w:ind w:left="1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8DF94">
      <w:start w:val="1"/>
      <w:numFmt w:val="bullet"/>
      <w:lvlText w:val="▪"/>
      <w:lvlJc w:val="left"/>
      <w:pPr>
        <w:ind w:left="2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443C">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F2D69E">
      <w:start w:val="1"/>
      <w:numFmt w:val="bullet"/>
      <w:lvlText w:val="o"/>
      <w:lvlJc w:val="left"/>
      <w:pPr>
        <w:ind w:left="3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E4527A">
      <w:start w:val="1"/>
      <w:numFmt w:val="bullet"/>
      <w:lvlText w:val="▪"/>
      <w:lvlJc w:val="left"/>
      <w:pPr>
        <w:ind w:left="4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561E86">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5480A4">
      <w:start w:val="1"/>
      <w:numFmt w:val="bullet"/>
      <w:lvlText w:val="o"/>
      <w:lvlJc w:val="left"/>
      <w:pPr>
        <w:ind w:left="5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BAD25A">
      <w:start w:val="1"/>
      <w:numFmt w:val="bullet"/>
      <w:lvlText w:val="▪"/>
      <w:lvlJc w:val="left"/>
      <w:pPr>
        <w:ind w:left="6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D34D18"/>
    <w:multiLevelType w:val="hybridMultilevel"/>
    <w:tmpl w:val="AEBAA2B8"/>
    <w:lvl w:ilvl="0" w:tplc="E81E549A">
      <w:start w:val="1"/>
      <w:numFmt w:val="bullet"/>
      <w:lvlText w:val="•"/>
      <w:lvlJc w:val="left"/>
      <w:pPr>
        <w:ind w:left="1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E041C">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AA172C">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C4E822">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4E8AD2">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0A80CE">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7E690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21DFC">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0ADBE2">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255A0D"/>
    <w:multiLevelType w:val="hybridMultilevel"/>
    <w:tmpl w:val="D9A40966"/>
    <w:lvl w:ilvl="0" w:tplc="09E63B6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C43E50">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28A8B8">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C37D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A1758">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AEB5DA">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3A6608">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5C9E3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72A44A">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D89543A"/>
    <w:multiLevelType w:val="hybridMultilevel"/>
    <w:tmpl w:val="178C95F0"/>
    <w:lvl w:ilvl="0" w:tplc="BE961F5C">
      <w:start w:val="1"/>
      <w:numFmt w:val="bullet"/>
      <w:lvlText w:val="•"/>
      <w:lvlJc w:val="left"/>
      <w:pPr>
        <w:ind w:left="1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E9CBC">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BA28E2">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96F05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2FDA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8E54E0">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46EBEC">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AE308">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166A2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6B"/>
    <w:rsid w:val="004C0D70"/>
    <w:rsid w:val="00730A7F"/>
    <w:rsid w:val="00771A17"/>
    <w:rsid w:val="00B53F6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EC00"/>
  <w15:chartTrackingRefBased/>
  <w15:docId w15:val="{8C91102C-DB58-453C-9C4E-5535D867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6B"/>
    <w:pPr>
      <w:spacing w:after="5" w:line="249" w:lineRule="auto"/>
      <w:ind w:left="9" w:hanging="9"/>
    </w:pPr>
    <w:rPr>
      <w:rFonts w:ascii="Arial" w:eastAsia="Arial" w:hAnsi="Arial" w:cs="Arial"/>
      <w:color w:val="000000"/>
      <w:sz w:val="20"/>
      <w:lang w:eastAsia="en-SI"/>
    </w:rPr>
  </w:style>
  <w:style w:type="paragraph" w:styleId="Heading1">
    <w:name w:val="heading 1"/>
    <w:next w:val="Normal"/>
    <w:link w:val="Heading1Char"/>
    <w:uiPriority w:val="9"/>
    <w:qFormat/>
    <w:rsid w:val="00B53F6B"/>
    <w:pPr>
      <w:keepNext/>
      <w:keepLines/>
      <w:spacing w:after="0"/>
      <w:ind w:left="730" w:hanging="10"/>
      <w:outlineLvl w:val="0"/>
    </w:pPr>
    <w:rPr>
      <w:rFonts w:ascii="Arial" w:eastAsia="Arial" w:hAnsi="Arial" w:cs="Arial"/>
      <w:b/>
      <w:color w:val="000000"/>
      <w:sz w:val="28"/>
      <w:lang w:eastAsia="en-SI"/>
    </w:rPr>
  </w:style>
  <w:style w:type="paragraph" w:styleId="Heading2">
    <w:name w:val="heading 2"/>
    <w:next w:val="Normal"/>
    <w:link w:val="Heading2Char"/>
    <w:uiPriority w:val="9"/>
    <w:unhideWhenUsed/>
    <w:qFormat/>
    <w:rsid w:val="00B53F6B"/>
    <w:pPr>
      <w:keepNext/>
      <w:keepLines/>
      <w:spacing w:after="0"/>
      <w:ind w:left="730" w:hanging="10"/>
      <w:outlineLvl w:val="1"/>
    </w:pPr>
    <w:rPr>
      <w:rFonts w:ascii="Arial" w:eastAsia="Arial" w:hAnsi="Arial" w:cs="Arial"/>
      <w:b/>
      <w:color w:val="000000"/>
      <w:sz w:val="24"/>
      <w:lang w:eastAsia="en-SI"/>
    </w:rPr>
  </w:style>
  <w:style w:type="paragraph" w:styleId="Heading3">
    <w:name w:val="heading 3"/>
    <w:next w:val="Normal"/>
    <w:link w:val="Heading3Char"/>
    <w:uiPriority w:val="9"/>
    <w:unhideWhenUsed/>
    <w:qFormat/>
    <w:rsid w:val="00B53F6B"/>
    <w:pPr>
      <w:keepNext/>
      <w:keepLines/>
      <w:spacing w:after="0"/>
      <w:ind w:left="730" w:hanging="10"/>
      <w:outlineLvl w:val="2"/>
    </w:pPr>
    <w:rPr>
      <w:rFonts w:ascii="Arial" w:eastAsia="Arial" w:hAnsi="Arial" w:cs="Arial"/>
      <w:b/>
      <w:color w:val="000000"/>
      <w:lang w:eastAsia="e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F6B"/>
    <w:rPr>
      <w:rFonts w:ascii="Arial" w:eastAsia="Arial" w:hAnsi="Arial" w:cs="Arial"/>
      <w:b/>
      <w:color w:val="000000"/>
      <w:sz w:val="28"/>
      <w:lang w:val="en-SI" w:eastAsia="en-SI"/>
    </w:rPr>
  </w:style>
  <w:style w:type="character" w:customStyle="1" w:styleId="Heading2Char">
    <w:name w:val="Heading 2 Char"/>
    <w:basedOn w:val="DefaultParagraphFont"/>
    <w:link w:val="Heading2"/>
    <w:uiPriority w:val="9"/>
    <w:rsid w:val="00B53F6B"/>
    <w:rPr>
      <w:rFonts w:ascii="Arial" w:eastAsia="Arial" w:hAnsi="Arial" w:cs="Arial"/>
      <w:b/>
      <w:color w:val="000000"/>
      <w:sz w:val="24"/>
      <w:lang w:val="en-SI" w:eastAsia="en-SI"/>
    </w:rPr>
  </w:style>
  <w:style w:type="character" w:customStyle="1" w:styleId="Heading3Char">
    <w:name w:val="Heading 3 Char"/>
    <w:basedOn w:val="DefaultParagraphFont"/>
    <w:link w:val="Heading3"/>
    <w:uiPriority w:val="9"/>
    <w:rsid w:val="00B53F6B"/>
    <w:rPr>
      <w:rFonts w:ascii="Arial" w:eastAsia="Arial" w:hAnsi="Arial" w:cs="Arial"/>
      <w:b/>
      <w:color w:val="000000"/>
      <w:lang w:val="en-SI" w:eastAsia="en-SI"/>
    </w:rPr>
  </w:style>
  <w:style w:type="paragraph" w:customStyle="1" w:styleId="footnotedescription">
    <w:name w:val="footnote description"/>
    <w:next w:val="Normal"/>
    <w:link w:val="footnotedescriptionChar"/>
    <w:hidden/>
    <w:rsid w:val="00B53F6B"/>
    <w:pPr>
      <w:spacing w:after="0" w:line="264" w:lineRule="auto"/>
      <w:ind w:left="730" w:hanging="10"/>
    </w:pPr>
    <w:rPr>
      <w:rFonts w:ascii="Arial" w:eastAsia="Arial" w:hAnsi="Arial" w:cs="Arial"/>
      <w:b/>
      <w:color w:val="000000"/>
      <w:sz w:val="16"/>
      <w:lang w:eastAsia="en-SI"/>
    </w:rPr>
  </w:style>
  <w:style w:type="character" w:customStyle="1" w:styleId="footnotedescriptionChar">
    <w:name w:val="footnote description Char"/>
    <w:link w:val="footnotedescription"/>
    <w:rsid w:val="00B53F6B"/>
    <w:rPr>
      <w:rFonts w:ascii="Arial" w:eastAsia="Arial" w:hAnsi="Arial" w:cs="Arial"/>
      <w:b/>
      <w:color w:val="000000"/>
      <w:sz w:val="16"/>
      <w:lang w:val="en-SI" w:eastAsia="en-SI"/>
    </w:rPr>
  </w:style>
  <w:style w:type="character" w:customStyle="1" w:styleId="footnotemark">
    <w:name w:val="footnote mark"/>
    <w:hidden/>
    <w:rsid w:val="00B53F6B"/>
    <w:rPr>
      <w:rFonts w:ascii="Arial" w:eastAsia="Arial" w:hAnsi="Arial" w:cs="Arial"/>
      <w:color w:val="000000"/>
      <w:sz w:val="20"/>
      <w:vertAlign w:val="superscript"/>
    </w:rPr>
  </w:style>
  <w:style w:type="table" w:customStyle="1" w:styleId="TableGrid">
    <w:name w:val="TableGrid"/>
    <w:rsid w:val="00B53F6B"/>
    <w:pPr>
      <w:spacing w:after="0" w:line="240" w:lineRule="auto"/>
    </w:pPr>
    <w:rPr>
      <w:rFonts w:eastAsiaTheme="minorEastAsia"/>
      <w:lang w:eastAsia="en-SI"/>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C0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org.uk/sites/default/files/181109%20PRPG.pdf" TargetMode="External"/><Relationship Id="rId18" Type="http://schemas.openxmlformats.org/officeDocument/2006/relationships/hyperlink" Target="https://www.tax.org.uk/sites/default/files/Errors_helpsheet_1_March_2019.pdf" TargetMode="External"/><Relationship Id="rId26" Type="http://schemas.openxmlformats.org/officeDocument/2006/relationships/hyperlink" Target="https://www.tax.org.uk/sites/default/files/Request_for_data_by_HMRC_helpsheet_1_March_2019.pdf" TargetMode="External"/><Relationship Id="rId39" Type="http://schemas.openxmlformats.org/officeDocument/2006/relationships/fontTable" Target="fontTable.xml"/><Relationship Id="rId21" Type="http://schemas.openxmlformats.org/officeDocument/2006/relationships/hyperlink" Target="https://www.tax.org.uk/membership-and-events/anti-money-laundering-and-counter-terrorist-financing/guidance/AMLGAS" TargetMode="External"/><Relationship Id="rId34" Type="http://schemas.openxmlformats.org/officeDocument/2006/relationships/hyperlink" Target="https://www.tax.org.uk/sites/default/files/Errors_helpsheet_1_March_2019.pdf" TargetMode="External"/><Relationship Id="rId7" Type="http://schemas.openxmlformats.org/officeDocument/2006/relationships/hyperlink" Target="https://www.tax.org.uk/membership-and-events/anti-money-laundering-and-counter-terrorist-financing/guidance/AMLGAS" TargetMode="External"/><Relationship Id="rId12" Type="http://schemas.openxmlformats.org/officeDocument/2006/relationships/hyperlink" Target="https://www.tax.org.uk/sites/default/files/181109%20PRPG.pdf" TargetMode="External"/><Relationship Id="rId17" Type="http://schemas.openxmlformats.org/officeDocument/2006/relationships/hyperlink" Target="https://www.tax.org.uk/sites/default/files/Errors_helpsheet_1_March_2019.pdf" TargetMode="External"/><Relationship Id="rId25" Type="http://schemas.openxmlformats.org/officeDocument/2006/relationships/hyperlink" Target="https://www.tax.org.uk/sites/default/files/Supplementary_Anti%20Money_Laundering_Guidance_for_the_Tax_Practitioner.pdf" TargetMode="External"/><Relationship Id="rId33" Type="http://schemas.openxmlformats.org/officeDocument/2006/relationships/hyperlink" Target="https://www.tax.org.uk/sites/default/files/B_Rewrite_of_PCRT_Tax_planning_helpsheet_1_March_2019.pdf" TargetMode="External"/><Relationship Id="rId38" Type="http://schemas.openxmlformats.org/officeDocument/2006/relationships/hyperlink" Target="https://www.tax.org.uk/sites/default/files/Members_Personal_Tax_Affairs_1_March_2019.pdf" TargetMode="External"/><Relationship Id="rId2" Type="http://schemas.openxmlformats.org/officeDocument/2006/relationships/styles" Target="styles.xml"/><Relationship Id="rId16" Type="http://schemas.openxmlformats.org/officeDocument/2006/relationships/hyperlink" Target="https://www.tax.org.uk/sites/default/files/Errors_helpsheet_1_March_2019.pdf" TargetMode="External"/><Relationship Id="rId20" Type="http://schemas.openxmlformats.org/officeDocument/2006/relationships/hyperlink" Target="https://www.tax.org.uk/membership-and-events/anti-money-laundering-and-counter-terrorist-financing/guidance/AMLGAS" TargetMode="External"/><Relationship Id="rId29" Type="http://schemas.openxmlformats.org/officeDocument/2006/relationships/hyperlink" Target="https://www.tax.org.uk/sites/default/files/B_Rewrite_of_PCRT_Tax_planning_helpsheet_1_March_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org.uk/sites/default/files/Supplementary_Anti%20Money_Laundering_Guidance_for_the_Tax_Practitioner.pdf" TargetMode="External"/><Relationship Id="rId24" Type="http://schemas.openxmlformats.org/officeDocument/2006/relationships/hyperlink" Target="https://www.tax.org.uk/sites/default/files/Supplementary_Anti%20Money_Laundering_Guidance_for_the_Tax_Practitioner.pdf" TargetMode="External"/><Relationship Id="rId32" Type="http://schemas.openxmlformats.org/officeDocument/2006/relationships/hyperlink" Target="https://www.tax.org.uk/sites/default/files/B_Rewrite_of_PCRT_Tax_planning_helpsheet_1_March_2019.pdf" TargetMode="External"/><Relationship Id="rId37" Type="http://schemas.openxmlformats.org/officeDocument/2006/relationships/hyperlink" Target="https://www.tax.org.uk/sites/default/files/Request_for_data_by_HMRC_helpsheet_1_March_2019.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tt.org.uk/members/professional-standards-ethics/professional-rules-practice-regulations" TargetMode="External"/><Relationship Id="rId23" Type="http://schemas.openxmlformats.org/officeDocument/2006/relationships/hyperlink" Target="https://www.tax.org.uk/sites/default/files/Supplementary_Anti%20Money_Laundering_Guidance_for_the_Tax_Practitioner.pdf" TargetMode="External"/><Relationship Id="rId28" Type="http://schemas.openxmlformats.org/officeDocument/2006/relationships/hyperlink" Target="https://www.tax.org.uk/sites/default/files/B_Rewrite_of_PCRT_Tax_planning_helpsheet_1_March_2019.pdf" TargetMode="External"/><Relationship Id="rId36" Type="http://schemas.openxmlformats.org/officeDocument/2006/relationships/hyperlink" Target="https://www.tax.org.uk/sites/default/files/Request_for_data_by_HMRC_helpsheet_1_March_2019.pdf" TargetMode="External"/><Relationship Id="rId10" Type="http://schemas.openxmlformats.org/officeDocument/2006/relationships/hyperlink" Target="https://www.tax.org.uk/sites/default/files/Supplementary_Anti%20Money_Laundering_Guidance_for_the_Tax_Practitioner.pdf" TargetMode="External"/><Relationship Id="rId19" Type="http://schemas.openxmlformats.org/officeDocument/2006/relationships/hyperlink" Target="https://www.tax.org.uk/sites/default/files/Errors_helpsheet_1_March_2019.pdf" TargetMode="External"/><Relationship Id="rId31" Type="http://schemas.openxmlformats.org/officeDocument/2006/relationships/hyperlink" Target="https://www.tax.org.uk/sites/default/files/A_Tax_Filings_helpsheet_1_March_2019.pdf" TargetMode="External"/><Relationship Id="rId4" Type="http://schemas.openxmlformats.org/officeDocument/2006/relationships/webSettings" Target="webSettings.xml"/><Relationship Id="rId9" Type="http://schemas.openxmlformats.org/officeDocument/2006/relationships/hyperlink" Target="https://www.tax.org.uk/membership-and-events/anti-money-laundering-and-counter-terrorist-financing/guidance/AMLGAS" TargetMode="External"/><Relationship Id="rId14" Type="http://schemas.openxmlformats.org/officeDocument/2006/relationships/hyperlink" Target="https://www.att.org.uk/members/professional-standards-ethics/professional-rules-practice-regulations" TargetMode="External"/><Relationship Id="rId22" Type="http://schemas.openxmlformats.org/officeDocument/2006/relationships/hyperlink" Target="https://www.tax.org.uk/sites/default/files/Supplementary_Anti%20Money_Laundering_Guidance_for_the_Tax_Practitioner.pdf" TargetMode="External"/><Relationship Id="rId27" Type="http://schemas.openxmlformats.org/officeDocument/2006/relationships/hyperlink" Target="https://www.tax.org.uk/sites/default/files/Request_for_data_by_HMRC_helpsheet_1_March_2019.pdf" TargetMode="External"/><Relationship Id="rId30" Type="http://schemas.openxmlformats.org/officeDocument/2006/relationships/hyperlink" Target="https://www.tax.org.uk/sites/default/files/A_Tax_Filings_helpsheet_1_March_2019.pdf" TargetMode="External"/><Relationship Id="rId35" Type="http://schemas.openxmlformats.org/officeDocument/2006/relationships/hyperlink" Target="https://www.tax.org.uk/sites/default/files/Errors_helpsheet_1_March_2019.pdf" TargetMode="External"/><Relationship Id="rId8" Type="http://schemas.openxmlformats.org/officeDocument/2006/relationships/hyperlink" Target="https://www.tax.org.uk/membership-and-events/anti-money-laundering-and-counter-terrorist-financing/guidance/AMLGA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4124</Words>
  <Characters>23512</Characters>
  <Application>Microsoft Office Word</Application>
  <DocSecurity>0</DocSecurity>
  <Lines>195</Lines>
  <Paragraphs>55</Paragraphs>
  <ScaleCrop>false</ScaleCrop>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 derganc</dc:creator>
  <cp:keywords/>
  <dc:description/>
  <cp:lastModifiedBy>franc derganc</cp:lastModifiedBy>
  <cp:revision>1</cp:revision>
  <dcterms:created xsi:type="dcterms:W3CDTF">2020-01-13T21:23:00Z</dcterms:created>
  <dcterms:modified xsi:type="dcterms:W3CDTF">2020-01-13T21:23:00Z</dcterms:modified>
</cp:coreProperties>
</file>